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C90" w:rsidRDefault="00B35F2A" w:rsidP="00922EC0">
      <w:pPr>
        <w:spacing w:line="360" w:lineRule="auto"/>
        <w:rPr>
          <w:rFonts w:ascii="微软雅黑" w:eastAsia="微软雅黑" w:hAnsi="微软雅黑"/>
          <w:b/>
          <w:sz w:val="36"/>
          <w:szCs w:val="36"/>
        </w:rPr>
      </w:pPr>
      <w:r>
        <w:rPr>
          <w:rFonts w:ascii="微软雅黑" w:eastAsia="微软雅黑" w:hAnsi="微软雅黑" w:hint="eastAsia"/>
          <w:b/>
          <w:sz w:val="36"/>
          <w:szCs w:val="36"/>
        </w:rPr>
        <w:t xml:space="preserve">            </w:t>
      </w:r>
      <w:r w:rsidR="00AD4040">
        <w:rPr>
          <w:rFonts w:ascii="微软雅黑" w:eastAsia="微软雅黑" w:hAnsi="微软雅黑" w:hint="eastAsia"/>
          <w:b/>
          <w:sz w:val="36"/>
          <w:szCs w:val="36"/>
        </w:rPr>
        <w:t xml:space="preserve">  </w:t>
      </w:r>
      <w:r>
        <w:rPr>
          <w:rFonts w:ascii="微软雅黑" w:eastAsia="微软雅黑" w:hAnsi="微软雅黑" w:hint="eastAsia"/>
          <w:b/>
          <w:sz w:val="36"/>
          <w:szCs w:val="36"/>
        </w:rPr>
        <w:t xml:space="preserve"> 香港浸会大学硕士招生宣讲会</w:t>
      </w:r>
    </w:p>
    <w:p w:rsidR="00922EC0" w:rsidRPr="00922EC0" w:rsidRDefault="00922EC0" w:rsidP="00922EC0">
      <w:pPr>
        <w:spacing w:line="360" w:lineRule="auto"/>
        <w:rPr>
          <w:rFonts w:ascii="微软雅黑" w:eastAsia="微软雅黑" w:hAnsi="微软雅黑"/>
          <w:b/>
          <w:sz w:val="36"/>
          <w:szCs w:val="36"/>
        </w:rPr>
      </w:pPr>
    </w:p>
    <w:p w:rsidR="004B0F5B" w:rsidRPr="004B0F5B" w:rsidRDefault="004B0F5B" w:rsidP="00033AA9">
      <w:pPr>
        <w:rPr>
          <w:rFonts w:ascii="宋体" w:hAnsi="宋体"/>
          <w:b/>
          <w:color w:val="548DD4" w:themeColor="text2" w:themeTint="99"/>
          <w:sz w:val="24"/>
        </w:rPr>
      </w:pPr>
      <w:r w:rsidRPr="004B0F5B">
        <w:rPr>
          <w:rFonts w:ascii="宋体" w:hAnsi="宋体" w:hint="eastAsia"/>
          <w:b/>
          <w:color w:val="548DD4" w:themeColor="text2" w:themeTint="99"/>
          <w:sz w:val="24"/>
        </w:rPr>
        <w:t>宣讲会时间：</w:t>
      </w:r>
      <w:r w:rsidR="00455524">
        <w:rPr>
          <w:rFonts w:ascii="宋体" w:hAnsi="宋体" w:hint="eastAsia"/>
          <w:b/>
          <w:color w:val="548DD4" w:themeColor="text2" w:themeTint="99"/>
          <w:sz w:val="24"/>
        </w:rPr>
        <w:t>11</w:t>
      </w:r>
      <w:r w:rsidR="00387593">
        <w:rPr>
          <w:rFonts w:ascii="宋体" w:hAnsi="宋体" w:hint="eastAsia"/>
          <w:b/>
          <w:color w:val="548DD4" w:themeColor="text2" w:themeTint="99"/>
          <w:sz w:val="24"/>
        </w:rPr>
        <w:t>月</w:t>
      </w:r>
      <w:r w:rsidR="00455524">
        <w:rPr>
          <w:rFonts w:ascii="宋体" w:hAnsi="宋体" w:hint="eastAsia"/>
          <w:b/>
          <w:color w:val="548DD4" w:themeColor="text2" w:themeTint="99"/>
          <w:sz w:val="24"/>
        </w:rPr>
        <w:t>8号（周三</w:t>
      </w:r>
      <w:r w:rsidR="00387593">
        <w:rPr>
          <w:rFonts w:ascii="宋体" w:hAnsi="宋体" w:hint="eastAsia"/>
          <w:b/>
          <w:color w:val="548DD4" w:themeColor="text2" w:themeTint="99"/>
          <w:sz w:val="24"/>
        </w:rPr>
        <w:t>）晚7点</w:t>
      </w:r>
    </w:p>
    <w:p w:rsidR="004B0F5B" w:rsidRPr="004B0F5B" w:rsidRDefault="004B0F5B" w:rsidP="00033AA9">
      <w:pPr>
        <w:rPr>
          <w:rFonts w:ascii="宋体" w:hAnsi="宋体"/>
          <w:b/>
          <w:color w:val="548DD4" w:themeColor="text2" w:themeTint="99"/>
          <w:sz w:val="24"/>
        </w:rPr>
      </w:pPr>
      <w:r w:rsidRPr="004B0F5B">
        <w:rPr>
          <w:rFonts w:ascii="宋体" w:hAnsi="宋体" w:hint="eastAsia"/>
          <w:b/>
          <w:color w:val="548DD4" w:themeColor="text2" w:themeTint="99"/>
          <w:sz w:val="24"/>
        </w:rPr>
        <w:t>宣讲会地点：</w:t>
      </w:r>
      <w:r w:rsidR="00455524">
        <w:rPr>
          <w:rFonts w:ascii="宋体" w:hAnsi="宋体" w:hint="eastAsia"/>
          <w:b/>
          <w:color w:val="548DD4" w:themeColor="text2" w:themeTint="99"/>
          <w:sz w:val="24"/>
        </w:rPr>
        <w:t>中国地质大学（北京）19号楼209室</w:t>
      </w:r>
    </w:p>
    <w:p w:rsidR="004B0F5B" w:rsidRDefault="004B0F5B" w:rsidP="00033AA9">
      <w:pPr>
        <w:rPr>
          <w:rFonts w:ascii="宋体" w:hAnsi="宋体"/>
          <w:b/>
          <w:sz w:val="24"/>
          <w:u w:val="single"/>
        </w:rPr>
      </w:pPr>
    </w:p>
    <w:p w:rsidR="00B35F2A" w:rsidRPr="00033AA9" w:rsidRDefault="00B35F2A" w:rsidP="00033AA9">
      <w:pPr>
        <w:rPr>
          <w:rFonts w:ascii="宋体" w:hAnsi="宋体"/>
          <w:b/>
          <w:sz w:val="24"/>
          <w:u w:val="single"/>
        </w:rPr>
      </w:pPr>
      <w:r>
        <w:rPr>
          <w:rFonts w:ascii="宋体" w:hAnsi="宋体" w:hint="eastAsia"/>
          <w:b/>
          <w:sz w:val="24"/>
          <w:u w:val="single"/>
        </w:rPr>
        <w:t>香港浸会大学介绍</w:t>
      </w:r>
    </w:p>
    <w:p w:rsidR="00801E58" w:rsidRPr="00FE1456" w:rsidRDefault="00FE1456" w:rsidP="00801E58">
      <w:pPr>
        <w:widowControl/>
        <w:shd w:val="clear" w:color="auto" w:fill="FFFFFF"/>
        <w:spacing w:line="345" w:lineRule="atLeast"/>
        <w:ind w:firstLine="420"/>
        <w:jc w:val="left"/>
        <w:rPr>
          <w:rStyle w:val="a3"/>
          <w:rFonts w:asciiTheme="minorEastAsia" w:eastAsiaTheme="minorEastAsia" w:hAnsiTheme="minorEastAsia" w:cs="Helvetica"/>
          <w:color w:val="E36C0A" w:themeColor="accent6" w:themeShade="BF"/>
          <w:szCs w:val="21"/>
          <w:shd w:val="clear" w:color="auto" w:fill="FFFFFF"/>
        </w:rPr>
      </w:pPr>
      <w:r w:rsidRPr="00FE1456">
        <w:rPr>
          <w:rFonts w:asciiTheme="minorEastAsia" w:eastAsiaTheme="minorEastAsia" w:hAnsiTheme="minorEastAsia" w:cs="Helvetica"/>
          <w:color w:val="000000" w:themeColor="text1"/>
          <w:szCs w:val="21"/>
          <w:shd w:val="clear" w:color="auto" w:fill="FFFFFF"/>
        </w:rPr>
        <w:t>香港浸会大学创立于1956年，是香港八所公立大学之一，获政府授权颁发博士、硕士、学士，以及副学士学位。自2003年起，获国家教育部批准在内地进行研究生招生。所颁学位获得国家教育部及国际社会认可。作为文理型综合大学，浸大设有七个学院，包括文学院、工商管理学院、中医药学院、传理学院、理学院、社会科学院及视觉艺术院，研究生专业达40多个。</w:t>
      </w:r>
      <w:r w:rsidR="00801E58" w:rsidRPr="00FE1456">
        <w:rPr>
          <w:rFonts w:ascii="宋体" w:hAnsi="宋体" w:hint="eastAsia"/>
          <w:b/>
          <w:color w:val="E36C0A" w:themeColor="accent6" w:themeShade="BF"/>
          <w:szCs w:val="21"/>
        </w:rPr>
        <w:t>英国泰晤士高等教育的201</w:t>
      </w:r>
      <w:r w:rsidR="00801E58">
        <w:rPr>
          <w:rFonts w:ascii="宋体" w:hAnsi="宋体" w:hint="eastAsia"/>
          <w:b/>
          <w:color w:val="E36C0A" w:themeColor="accent6" w:themeShade="BF"/>
          <w:szCs w:val="21"/>
        </w:rPr>
        <w:t>7亚太地区大学排名，香港浸会大学</w:t>
      </w:r>
      <w:r w:rsidR="00801E58" w:rsidRPr="00FE1456">
        <w:rPr>
          <w:rFonts w:ascii="宋体" w:hAnsi="宋体" w:hint="eastAsia"/>
          <w:b/>
          <w:color w:val="E36C0A" w:themeColor="accent6" w:themeShade="BF"/>
          <w:szCs w:val="21"/>
        </w:rPr>
        <w:t>排名为</w:t>
      </w:r>
      <w:r w:rsidR="00801E58">
        <w:rPr>
          <w:rFonts w:ascii="宋体" w:hAnsi="宋体" w:hint="eastAsia"/>
          <w:b/>
          <w:color w:val="E36C0A" w:themeColor="accent6" w:themeShade="BF"/>
          <w:szCs w:val="21"/>
        </w:rPr>
        <w:t>65</w:t>
      </w:r>
      <w:r w:rsidR="00801E58" w:rsidRPr="00FE1456">
        <w:rPr>
          <w:rFonts w:ascii="宋体" w:hAnsi="宋体" w:hint="eastAsia"/>
          <w:b/>
          <w:color w:val="E36C0A" w:themeColor="accent6" w:themeShade="BF"/>
          <w:szCs w:val="21"/>
        </w:rPr>
        <w:t>位</w:t>
      </w:r>
      <w:r w:rsidR="00801E58">
        <w:rPr>
          <w:rFonts w:ascii="宋体" w:hAnsi="宋体" w:hint="eastAsia"/>
          <w:b/>
          <w:color w:val="E36C0A" w:themeColor="accent6" w:themeShade="BF"/>
          <w:szCs w:val="21"/>
        </w:rPr>
        <w:t>,</w:t>
      </w:r>
      <w:r w:rsidR="00801E58" w:rsidRPr="00FE1456">
        <w:rPr>
          <w:rStyle w:val="a3"/>
          <w:rFonts w:asciiTheme="minorEastAsia" w:eastAsiaTheme="minorEastAsia" w:hAnsiTheme="minorEastAsia" w:cs="Helvetica"/>
          <w:color w:val="E36C0A" w:themeColor="accent6" w:themeShade="BF"/>
          <w:szCs w:val="21"/>
          <w:shd w:val="clear" w:color="auto" w:fill="FFFFFF"/>
        </w:rPr>
        <w:t>而在QS选出的50所全球年轻大学排名中位列第</w:t>
      </w:r>
      <w:r w:rsidR="00801E58">
        <w:rPr>
          <w:rStyle w:val="a3"/>
          <w:rFonts w:asciiTheme="minorEastAsia" w:eastAsiaTheme="minorEastAsia" w:hAnsiTheme="minorEastAsia" w:cs="Helvetica" w:hint="eastAsia"/>
          <w:color w:val="E36C0A" w:themeColor="accent6" w:themeShade="BF"/>
          <w:szCs w:val="21"/>
          <w:shd w:val="clear" w:color="auto" w:fill="FFFFFF"/>
        </w:rPr>
        <w:t>31</w:t>
      </w:r>
      <w:r w:rsidR="00801E58" w:rsidRPr="00FE1456">
        <w:rPr>
          <w:rStyle w:val="a3"/>
          <w:rFonts w:asciiTheme="minorEastAsia" w:eastAsiaTheme="minorEastAsia" w:hAnsiTheme="minorEastAsia" w:cs="Helvetica"/>
          <w:color w:val="E36C0A" w:themeColor="accent6" w:themeShade="BF"/>
          <w:szCs w:val="21"/>
          <w:shd w:val="clear" w:color="auto" w:fill="FFFFFF"/>
        </w:rPr>
        <w:t>名。此外，浸大也被评为亚太地区最适宜国际学生学习生活的学校之一。</w:t>
      </w:r>
    </w:p>
    <w:p w:rsidR="00FE1456" w:rsidRPr="00FE1456" w:rsidRDefault="00FE1456" w:rsidP="00801E58">
      <w:pPr>
        <w:widowControl/>
        <w:shd w:val="clear" w:color="auto" w:fill="FFFFFF"/>
        <w:spacing w:line="345" w:lineRule="atLeast"/>
        <w:ind w:firstLine="420"/>
        <w:jc w:val="left"/>
        <w:rPr>
          <w:rFonts w:asciiTheme="minorEastAsia" w:eastAsiaTheme="minorEastAsia" w:hAnsiTheme="minorEastAsia"/>
          <w:color w:val="000000" w:themeColor="text1"/>
          <w:szCs w:val="21"/>
        </w:rPr>
      </w:pPr>
      <w:r w:rsidRPr="00FE1456">
        <w:rPr>
          <w:rFonts w:asciiTheme="minorEastAsia" w:eastAsiaTheme="minorEastAsia" w:hAnsiTheme="minorEastAsia" w:cs="宋体" w:hint="eastAsia"/>
          <w:color w:val="000000" w:themeColor="text1"/>
          <w:kern w:val="0"/>
          <w:szCs w:val="21"/>
        </w:rPr>
        <w:t>大学创办至今，一直致力于教学与研究，广纳贤才，服务社会，探求学术，陶冶情操，追求卓越成就。同时大学实行英语授课，以配合国际化的需要。除一般课堂的学习外，浸大亦通过人文素质的训练，让学生有机会全面地接受全人教育。</w:t>
      </w:r>
    </w:p>
    <w:p w:rsidR="00922EC0" w:rsidRPr="00922EC0" w:rsidRDefault="00B35F2A" w:rsidP="00FE1456">
      <w:pPr>
        <w:ind w:firstLineChars="200" w:firstLine="420"/>
        <w:rPr>
          <w:rFonts w:ascii="宋体" w:hAnsi="宋体"/>
          <w:szCs w:val="21"/>
        </w:rPr>
      </w:pPr>
      <w:r>
        <w:rPr>
          <w:rFonts w:ascii="宋体" w:hAnsi="宋体" w:hint="eastAsia"/>
          <w:szCs w:val="21"/>
        </w:rPr>
        <w:t xml:space="preserve">  </w:t>
      </w:r>
    </w:p>
    <w:p w:rsidR="002866E8" w:rsidRPr="00AF3BD0" w:rsidRDefault="002866E8" w:rsidP="002866E8">
      <w:pPr>
        <w:spacing w:line="300" w:lineRule="auto"/>
        <w:rPr>
          <w:rFonts w:ascii="黑体" w:eastAsia="黑体" w:hAnsi="黑体" w:cs="Arial"/>
          <w:b/>
          <w:sz w:val="24"/>
          <w:u w:val="single"/>
        </w:rPr>
      </w:pPr>
      <w:r w:rsidRPr="00AF3BD0">
        <w:rPr>
          <w:rFonts w:ascii="黑体" w:eastAsia="黑体" w:hAnsi="黑体" w:cs="Arial" w:hint="eastAsia"/>
          <w:b/>
          <w:sz w:val="24"/>
          <w:u w:val="single"/>
        </w:rPr>
        <w:t>宣讲会</w:t>
      </w:r>
      <w:r w:rsidRPr="00AF3BD0">
        <w:rPr>
          <w:rFonts w:ascii="黑体" w:eastAsia="黑体" w:hAnsi="黑体" w:cs="Arial"/>
          <w:b/>
          <w:sz w:val="24"/>
          <w:u w:val="single"/>
        </w:rPr>
        <w:t>主要内容：</w:t>
      </w:r>
    </w:p>
    <w:p w:rsidR="002866E8" w:rsidRDefault="002866E8" w:rsidP="002866E8">
      <w:pPr>
        <w:spacing w:line="300" w:lineRule="auto"/>
        <w:rPr>
          <w:rFonts w:ascii="宋体" w:hAnsi="宋体" w:cs="宋体"/>
          <w:kern w:val="0"/>
          <w:szCs w:val="21"/>
        </w:rPr>
      </w:pPr>
      <w:r>
        <w:rPr>
          <w:rFonts w:ascii="宋体" w:hAnsi="宋体" w:cs="宋体"/>
          <w:b/>
          <w:kern w:val="0"/>
          <w:szCs w:val="21"/>
        </w:rPr>
        <w:t>全面</w:t>
      </w:r>
      <w:r>
        <w:rPr>
          <w:rFonts w:ascii="宋体" w:hAnsi="宋体" w:cs="宋体" w:hint="eastAsia"/>
          <w:b/>
          <w:kern w:val="0"/>
          <w:szCs w:val="21"/>
        </w:rPr>
        <w:t>剖析</w:t>
      </w:r>
      <w:r>
        <w:rPr>
          <w:rFonts w:ascii="宋体" w:hAnsi="宋体" w:cs="宋体" w:hint="eastAsia"/>
          <w:kern w:val="0"/>
          <w:szCs w:val="21"/>
        </w:rPr>
        <w:t>香港高校录取规律，往年录取学生情况，往届毕业生就业和深造情况；</w:t>
      </w:r>
    </w:p>
    <w:p w:rsidR="002866E8" w:rsidRDefault="002866E8" w:rsidP="002866E8">
      <w:pPr>
        <w:spacing w:line="300" w:lineRule="auto"/>
        <w:rPr>
          <w:rFonts w:ascii="宋体" w:hAnsi="宋体" w:cs="宋体"/>
          <w:kern w:val="0"/>
          <w:szCs w:val="21"/>
        </w:rPr>
      </w:pPr>
      <w:r>
        <w:rPr>
          <w:rFonts w:ascii="宋体" w:hAnsi="宋体" w:cs="宋体" w:hint="eastAsia"/>
          <w:b/>
          <w:kern w:val="0"/>
          <w:szCs w:val="21"/>
        </w:rPr>
        <w:t>详细</w:t>
      </w:r>
      <w:r>
        <w:rPr>
          <w:rFonts w:ascii="宋体" w:hAnsi="宋体" w:cs="宋体"/>
          <w:b/>
          <w:kern w:val="0"/>
          <w:szCs w:val="21"/>
        </w:rPr>
        <w:t>介绍</w:t>
      </w:r>
      <w:r>
        <w:rPr>
          <w:rFonts w:ascii="宋体" w:hAnsi="宋体" w:cs="宋体"/>
          <w:kern w:val="0"/>
          <w:szCs w:val="21"/>
        </w:rPr>
        <w:t>大学及相关专业情况，包括学校</w:t>
      </w:r>
      <w:r>
        <w:rPr>
          <w:rFonts w:ascii="宋体" w:hAnsi="宋体" w:cs="宋体" w:hint="eastAsia"/>
          <w:kern w:val="0"/>
          <w:szCs w:val="21"/>
        </w:rPr>
        <w:t>及</w:t>
      </w:r>
      <w:r>
        <w:rPr>
          <w:rFonts w:ascii="宋体" w:hAnsi="宋体" w:cs="宋体"/>
          <w:kern w:val="0"/>
          <w:szCs w:val="21"/>
        </w:rPr>
        <w:t>院系专业的实力、设施、资源，</w:t>
      </w:r>
      <w:r>
        <w:rPr>
          <w:rFonts w:ascii="宋体" w:hAnsi="宋体" w:cs="宋体" w:hint="eastAsia"/>
          <w:kern w:val="0"/>
          <w:szCs w:val="21"/>
        </w:rPr>
        <w:t>对比在港学习和国内学习的区别，分享海外求学的经历等</w:t>
      </w:r>
      <w:r>
        <w:rPr>
          <w:rFonts w:ascii="宋体" w:hAnsi="宋体" w:cs="宋体"/>
          <w:kern w:val="0"/>
          <w:szCs w:val="21"/>
        </w:rPr>
        <w:t>方方面面</w:t>
      </w:r>
      <w:r>
        <w:rPr>
          <w:rFonts w:ascii="宋体" w:hAnsi="宋体" w:cs="宋体" w:hint="eastAsia"/>
          <w:kern w:val="0"/>
          <w:szCs w:val="21"/>
        </w:rPr>
        <w:t>；</w:t>
      </w:r>
    </w:p>
    <w:p w:rsidR="002866E8" w:rsidRDefault="002866E8" w:rsidP="002866E8">
      <w:pPr>
        <w:spacing w:line="300" w:lineRule="auto"/>
        <w:rPr>
          <w:rFonts w:ascii="宋体" w:hAnsi="宋体" w:cs="宋体"/>
          <w:kern w:val="0"/>
          <w:szCs w:val="21"/>
        </w:rPr>
      </w:pPr>
      <w:r>
        <w:rPr>
          <w:rFonts w:ascii="宋体" w:hAnsi="宋体" w:cs="宋体" w:hint="eastAsia"/>
          <w:b/>
          <w:kern w:val="0"/>
          <w:szCs w:val="21"/>
        </w:rPr>
        <w:t>欢迎现场申请，</w:t>
      </w:r>
      <w:r>
        <w:rPr>
          <w:rFonts w:ascii="宋体" w:hAnsi="宋体" w:cs="宋体" w:hint="eastAsia"/>
          <w:kern w:val="0"/>
          <w:szCs w:val="21"/>
        </w:rPr>
        <w:t>可于现场直接提交材料，进入面试环节；</w:t>
      </w:r>
    </w:p>
    <w:p w:rsidR="002866E8" w:rsidRDefault="002866E8" w:rsidP="002866E8">
      <w:pPr>
        <w:spacing w:line="300" w:lineRule="auto"/>
        <w:rPr>
          <w:rFonts w:ascii="宋体" w:hAnsi="宋体" w:cs="宋体"/>
          <w:kern w:val="0"/>
          <w:szCs w:val="21"/>
        </w:rPr>
      </w:pPr>
      <w:r>
        <w:rPr>
          <w:rFonts w:ascii="宋体" w:hAnsi="宋体" w:cs="宋体" w:hint="eastAsia"/>
          <w:b/>
          <w:kern w:val="0"/>
          <w:szCs w:val="21"/>
        </w:rPr>
        <w:t>特设问答环节</w:t>
      </w:r>
      <w:r>
        <w:rPr>
          <w:rFonts w:ascii="宋体" w:hAnsi="宋体" w:cs="宋体" w:hint="eastAsia"/>
          <w:kern w:val="0"/>
          <w:szCs w:val="21"/>
        </w:rPr>
        <w:t>，</w:t>
      </w:r>
      <w:r>
        <w:rPr>
          <w:rFonts w:ascii="宋体" w:hAnsi="宋体" w:cs="宋体"/>
          <w:kern w:val="0"/>
          <w:szCs w:val="21"/>
        </w:rPr>
        <w:t>同学可以就关心的问题与宣讲的教授</w:t>
      </w:r>
      <w:r>
        <w:rPr>
          <w:rFonts w:ascii="宋体" w:hAnsi="宋体" w:cs="宋体" w:hint="eastAsia"/>
          <w:kern w:val="0"/>
          <w:szCs w:val="21"/>
        </w:rPr>
        <w:t>进行现场</w:t>
      </w:r>
      <w:r>
        <w:rPr>
          <w:rFonts w:ascii="宋体" w:hAnsi="宋体" w:cs="宋体"/>
          <w:kern w:val="0"/>
          <w:szCs w:val="21"/>
        </w:rPr>
        <w:t>沟通。</w:t>
      </w:r>
    </w:p>
    <w:p w:rsidR="00AF3BD0" w:rsidRDefault="00AF3BD0" w:rsidP="002866E8">
      <w:pPr>
        <w:spacing w:line="300" w:lineRule="auto"/>
        <w:rPr>
          <w:rFonts w:ascii="宋体" w:hAnsi="宋体" w:cs="宋体"/>
          <w:kern w:val="0"/>
          <w:szCs w:val="21"/>
        </w:rPr>
      </w:pPr>
    </w:p>
    <w:p w:rsidR="00AF3BD0" w:rsidRPr="00AF3BD0" w:rsidRDefault="00AF3BD0" w:rsidP="002866E8">
      <w:pPr>
        <w:spacing w:line="300" w:lineRule="auto"/>
        <w:rPr>
          <w:rFonts w:ascii="黑体" w:eastAsia="黑体" w:hAnsi="黑体" w:cs="宋体"/>
          <w:b/>
          <w:kern w:val="0"/>
          <w:sz w:val="24"/>
          <w:u w:val="single"/>
        </w:rPr>
      </w:pPr>
      <w:r w:rsidRPr="00AF3BD0">
        <w:rPr>
          <w:rFonts w:ascii="黑体" w:eastAsia="黑体" w:hAnsi="黑体" w:cs="宋体" w:hint="eastAsia"/>
          <w:b/>
          <w:kern w:val="0"/>
          <w:sz w:val="24"/>
          <w:u w:val="single"/>
        </w:rPr>
        <w:t>奖学金：</w:t>
      </w:r>
    </w:p>
    <w:p w:rsidR="00AF3BD0" w:rsidRDefault="00AF3BD0" w:rsidP="002866E8">
      <w:pPr>
        <w:spacing w:line="300" w:lineRule="auto"/>
        <w:rPr>
          <w:rFonts w:ascii="宋体" w:hAns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入学奖学金</w:t>
      </w:r>
    </w:p>
    <w:p w:rsidR="00AF3BD0" w:rsidRPr="00AF3BD0" w:rsidRDefault="00AF3BD0" w:rsidP="002866E8">
      <w:pPr>
        <w:spacing w:line="300" w:lineRule="auto"/>
        <w:rPr>
          <w:rFonts w:ascii="宋体" w:hAns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学习优秀奖学金</w:t>
      </w:r>
    </w:p>
    <w:p w:rsidR="00B35F2A" w:rsidRPr="002866E8" w:rsidRDefault="00B35F2A">
      <w:pPr>
        <w:rPr>
          <w:rFonts w:ascii="Arial" w:hAnsi="宋体" w:cs="Arial"/>
          <w:b/>
          <w:sz w:val="22"/>
          <w:szCs w:val="22"/>
        </w:rPr>
      </w:pPr>
    </w:p>
    <w:p w:rsidR="00B35F2A" w:rsidRDefault="00B35F2A">
      <w:pPr>
        <w:rPr>
          <w:rFonts w:ascii="黑体" w:eastAsia="黑体" w:hAnsi="黑体" w:cs="Arial"/>
          <w:b/>
          <w:sz w:val="24"/>
        </w:rPr>
      </w:pPr>
      <w:r w:rsidRPr="00AF3BD0">
        <w:rPr>
          <w:rFonts w:ascii="黑体" w:eastAsia="黑体" w:hAnsi="黑体" w:cs="Arial"/>
          <w:b/>
          <w:sz w:val="24"/>
          <w:u w:val="single"/>
        </w:rPr>
        <w:t>主讲</w:t>
      </w:r>
      <w:r w:rsidRPr="00AF3BD0">
        <w:rPr>
          <w:rFonts w:ascii="黑体" w:eastAsia="黑体" w:hAnsi="黑体" w:cs="Arial" w:hint="eastAsia"/>
          <w:b/>
          <w:sz w:val="24"/>
          <w:u w:val="single"/>
        </w:rPr>
        <w:t>嘉宾</w:t>
      </w:r>
      <w:r w:rsidR="007D7141" w:rsidRPr="00AF3BD0">
        <w:rPr>
          <w:rFonts w:ascii="黑体" w:eastAsia="黑体" w:hAnsi="黑体" w:cs="Arial" w:hint="eastAsia"/>
          <w:b/>
          <w:sz w:val="24"/>
          <w:u w:val="single"/>
        </w:rPr>
        <w:t>（暂定）</w:t>
      </w:r>
      <w:r w:rsidRPr="00AF3BD0">
        <w:rPr>
          <w:rFonts w:ascii="黑体" w:eastAsia="黑体" w:hAnsi="黑体" w:cs="Arial"/>
          <w:b/>
          <w:sz w:val="24"/>
        </w:rPr>
        <w:t>：</w:t>
      </w:r>
    </w:p>
    <w:p w:rsidR="00EF16E1" w:rsidRPr="00EF16E1" w:rsidRDefault="00EF16E1">
      <w:pPr>
        <w:rPr>
          <w:rFonts w:ascii="黑体" w:eastAsia="黑体" w:hAnsi="黑体" w:cs="Arial"/>
          <w:sz w:val="24"/>
        </w:rPr>
      </w:pPr>
      <w:r w:rsidRPr="00EF16E1">
        <w:rPr>
          <w:rFonts w:ascii="黑体" w:eastAsia="黑体" w:hAnsi="黑体" w:cs="Arial" w:hint="eastAsia"/>
          <w:sz w:val="24"/>
        </w:rPr>
        <w:t>钟姗姗博士（香港浸会大学生物系 香港理工大学博士）</w:t>
      </w:r>
    </w:p>
    <w:p w:rsidR="00EF16E1" w:rsidRPr="00EF16E1" w:rsidRDefault="00EF16E1">
      <w:pPr>
        <w:rPr>
          <w:rFonts w:ascii="黑体" w:eastAsia="黑体" w:hAnsi="黑体" w:cs="Arial"/>
          <w:sz w:val="24"/>
        </w:rPr>
      </w:pPr>
      <w:r w:rsidRPr="00EF16E1">
        <w:rPr>
          <w:rFonts w:ascii="黑体" w:eastAsia="黑体" w:hAnsi="黑体" w:cs="Arial" w:hint="eastAsia"/>
          <w:sz w:val="24"/>
        </w:rPr>
        <w:t>朱福荣教授（香港浸会大学物理系 查尔斯达尔文大学博士）</w:t>
      </w:r>
    </w:p>
    <w:p w:rsidR="00EF16E1" w:rsidRPr="00EF16E1" w:rsidRDefault="00EF16E1">
      <w:pPr>
        <w:rPr>
          <w:rFonts w:ascii="黑体" w:eastAsia="黑体" w:hAnsi="黑体" w:cs="Arial"/>
          <w:sz w:val="24"/>
        </w:rPr>
      </w:pPr>
      <w:r w:rsidRPr="00EF16E1">
        <w:rPr>
          <w:rFonts w:ascii="黑体" w:eastAsia="黑体" w:hAnsi="黑体" w:cs="Arial" w:hint="eastAsia"/>
          <w:sz w:val="24"/>
        </w:rPr>
        <w:t>张晓明教授（香港浸会大学计算机系 香港中文大学博士）</w:t>
      </w:r>
    </w:p>
    <w:p w:rsidR="00EF16E1" w:rsidRPr="00EF16E1" w:rsidRDefault="00EF16E1">
      <w:pPr>
        <w:rPr>
          <w:rFonts w:ascii="黑体" w:eastAsia="黑体" w:hAnsi="黑体" w:cs="Arial"/>
          <w:sz w:val="24"/>
        </w:rPr>
      </w:pPr>
      <w:r w:rsidRPr="00EF16E1">
        <w:rPr>
          <w:rFonts w:ascii="黑体" w:eastAsia="黑体" w:hAnsi="黑体" w:cs="Arial" w:hint="eastAsia"/>
          <w:sz w:val="24"/>
        </w:rPr>
        <w:t>游展高博士（香港浸会大学数学系 香港浸会大学博士）</w:t>
      </w:r>
    </w:p>
    <w:p w:rsidR="00EF16E1" w:rsidRPr="00EF16E1" w:rsidRDefault="00EF16E1">
      <w:pPr>
        <w:rPr>
          <w:rFonts w:ascii="黑体" w:eastAsia="黑体" w:hAnsi="黑体" w:cs="Arial"/>
          <w:sz w:val="24"/>
        </w:rPr>
      </w:pPr>
      <w:r w:rsidRPr="00EF16E1">
        <w:rPr>
          <w:rFonts w:ascii="黑体" w:eastAsia="黑体" w:hAnsi="黑体" w:cs="Arial" w:hint="eastAsia"/>
          <w:sz w:val="24"/>
        </w:rPr>
        <w:t>胡娣博士</w:t>
      </w:r>
      <w:r>
        <w:rPr>
          <w:rFonts w:ascii="黑体" w:eastAsia="黑体" w:hAnsi="黑体" w:cs="Arial" w:hint="eastAsia"/>
          <w:sz w:val="24"/>
        </w:rPr>
        <w:t xml:space="preserve">  </w:t>
      </w:r>
      <w:r w:rsidRPr="00EF16E1">
        <w:rPr>
          <w:rFonts w:ascii="黑体" w:eastAsia="黑体" w:hAnsi="黑体" w:cs="Arial" w:hint="eastAsia"/>
          <w:sz w:val="24"/>
        </w:rPr>
        <w:t>（香港浸会大学化学系 美国北卡罗</w:t>
      </w:r>
      <w:r>
        <w:rPr>
          <w:rFonts w:ascii="黑体" w:eastAsia="黑体" w:hAnsi="黑体" w:cs="Arial" w:hint="eastAsia"/>
          <w:sz w:val="24"/>
        </w:rPr>
        <w:t>来</w:t>
      </w:r>
      <w:r w:rsidRPr="00EF16E1">
        <w:rPr>
          <w:rFonts w:ascii="黑体" w:eastAsia="黑体" w:hAnsi="黑体" w:cs="Arial" w:hint="eastAsia"/>
          <w:sz w:val="24"/>
        </w:rPr>
        <w:t>纳大学教堂山分校博士）</w:t>
      </w:r>
    </w:p>
    <w:p w:rsidR="0024072E" w:rsidRDefault="0024072E">
      <w:pPr>
        <w:tabs>
          <w:tab w:val="left" w:pos="900"/>
        </w:tabs>
        <w:spacing w:line="360" w:lineRule="auto"/>
        <w:rPr>
          <w:rFonts w:ascii="Arial" w:hAnsi="宋体" w:cs="Arial"/>
          <w:b/>
          <w:sz w:val="22"/>
          <w:szCs w:val="22"/>
        </w:rPr>
      </w:pPr>
    </w:p>
    <w:p w:rsidR="004B0F5B" w:rsidRDefault="004B0F5B">
      <w:pPr>
        <w:tabs>
          <w:tab w:val="left" w:pos="900"/>
        </w:tabs>
        <w:spacing w:line="360" w:lineRule="auto"/>
        <w:rPr>
          <w:rFonts w:ascii="黑体" w:eastAsia="黑体" w:hAnsi="黑体"/>
          <w:b/>
          <w:sz w:val="24"/>
          <w:u w:val="single"/>
        </w:rPr>
      </w:pPr>
    </w:p>
    <w:p w:rsidR="004B0F5B" w:rsidRDefault="004B0F5B">
      <w:pPr>
        <w:tabs>
          <w:tab w:val="left" w:pos="900"/>
        </w:tabs>
        <w:spacing w:line="360" w:lineRule="auto"/>
        <w:rPr>
          <w:rFonts w:ascii="黑体" w:eastAsia="黑体" w:hAnsi="黑体"/>
          <w:b/>
          <w:sz w:val="24"/>
          <w:u w:val="single"/>
        </w:rPr>
      </w:pPr>
    </w:p>
    <w:p w:rsidR="00B35F2A" w:rsidRPr="00AF3BD0" w:rsidRDefault="00B35F2A">
      <w:pPr>
        <w:tabs>
          <w:tab w:val="left" w:pos="900"/>
        </w:tabs>
        <w:spacing w:line="360" w:lineRule="auto"/>
        <w:rPr>
          <w:rFonts w:ascii="黑体" w:eastAsia="黑体" w:hAnsi="黑体"/>
          <w:b/>
          <w:szCs w:val="21"/>
        </w:rPr>
      </w:pPr>
      <w:r w:rsidRPr="00AF3BD0">
        <w:rPr>
          <w:rFonts w:ascii="黑体" w:eastAsia="黑体" w:hAnsi="黑体" w:hint="eastAsia"/>
          <w:b/>
          <w:sz w:val="24"/>
          <w:u w:val="single"/>
        </w:rPr>
        <w:lastRenderedPageBreak/>
        <w:t xml:space="preserve">专业介绍 </w:t>
      </w:r>
      <w:r w:rsidR="00AF3BD0">
        <w:rPr>
          <w:rFonts w:ascii="黑体" w:eastAsia="黑体" w:hAnsi="黑体" w:hint="eastAsia"/>
          <w:b/>
          <w:sz w:val="24"/>
          <w:u w:val="single"/>
        </w:rPr>
        <w:t>：</w:t>
      </w:r>
    </w:p>
    <w:p w:rsidR="00B35F2A" w:rsidRDefault="00B35F2A">
      <w:pPr>
        <w:tabs>
          <w:tab w:val="left" w:pos="900"/>
        </w:tabs>
        <w:spacing w:line="360" w:lineRule="auto"/>
        <w:ind w:firstLineChars="200" w:firstLine="422"/>
        <w:rPr>
          <w:b/>
          <w:i/>
          <w:color w:val="0000FF"/>
          <w:sz w:val="24"/>
        </w:rPr>
      </w:pPr>
      <w:r>
        <w:rPr>
          <w:rFonts w:ascii="宋体" w:hAnsi="宋体" w:hint="eastAsia"/>
          <w:b/>
          <w:szCs w:val="21"/>
        </w:rPr>
        <w:t>1.运筹学及商业统计学理学双硕士学位课程——</w:t>
      </w:r>
      <w:r>
        <w:rPr>
          <w:rFonts w:hint="eastAsia"/>
          <w:b/>
          <w:i/>
          <w:color w:val="0000FF"/>
          <w:sz w:val="24"/>
        </w:rPr>
        <w:t>全港首创，强强联合，与英国肯特大学同时颁发学位</w:t>
      </w:r>
    </w:p>
    <w:p w:rsidR="00B35F2A" w:rsidRDefault="00B35F2A">
      <w:pPr>
        <w:ind w:firstLineChars="200" w:firstLine="420"/>
        <w:rPr>
          <w:rFonts w:ascii="宋体" w:hAnsi="宋体"/>
          <w:szCs w:val="21"/>
        </w:rPr>
      </w:pPr>
      <w:r>
        <w:rPr>
          <w:rFonts w:ascii="宋体" w:hAnsi="宋体" w:hint="eastAsia"/>
          <w:szCs w:val="21"/>
        </w:rPr>
        <w:t>本课程旨与英国肯特大学合办，在为运筹学及商业统计学领域的专业人士提供进一步学习深造的机会，同时也为有意于从事运筹学及商业统计学工作的人士提供实现职业转变的途径。</w:t>
      </w:r>
    </w:p>
    <w:p w:rsidR="00B35F2A" w:rsidRDefault="00B35F2A">
      <w:pPr>
        <w:rPr>
          <w:rFonts w:ascii="宋体" w:hAnsi="宋体"/>
          <w:szCs w:val="21"/>
        </w:rPr>
      </w:pPr>
      <w:r>
        <w:rPr>
          <w:rFonts w:ascii="宋体" w:hAnsi="宋体" w:hint="eastAsia"/>
          <w:b/>
          <w:bCs/>
          <w:szCs w:val="21"/>
        </w:rPr>
        <w:t xml:space="preserve">    2.金融数学及金融市场理学双硕士学位课程</w:t>
      </w:r>
      <w:r>
        <w:rPr>
          <w:rFonts w:ascii="宋体" w:hAnsi="宋体" w:hint="eastAsia"/>
          <w:szCs w:val="21"/>
        </w:rPr>
        <w:t>——</w:t>
      </w:r>
      <w:r>
        <w:rPr>
          <w:rFonts w:ascii="宋体" w:hAnsi="宋体" w:hint="eastAsia"/>
          <w:b/>
          <w:bCs/>
          <w:i/>
          <w:iCs/>
          <w:color w:val="0000FF"/>
          <w:sz w:val="24"/>
        </w:rPr>
        <w:t>全金融课程，国际化的教学，</w:t>
      </w:r>
      <w:r>
        <w:rPr>
          <w:rFonts w:ascii="宋体" w:hAnsi="宋体" w:hint="eastAsia"/>
          <w:b/>
          <w:bCs/>
          <w:i/>
          <w:iCs/>
          <w:color w:val="0000FF"/>
          <w:sz w:val="24"/>
          <w:szCs w:val="21"/>
        </w:rPr>
        <w:t>香港浸会大学和英国肯特大学大学同时颁发学位</w:t>
      </w:r>
    </w:p>
    <w:p w:rsidR="00B35F2A" w:rsidRDefault="00B35F2A">
      <w:pPr>
        <w:tabs>
          <w:tab w:val="left" w:pos="900"/>
        </w:tabs>
        <w:spacing w:line="360" w:lineRule="auto"/>
        <w:ind w:firstLineChars="200" w:firstLine="422"/>
        <w:rPr>
          <w:rFonts w:ascii="Verdana" w:hAnsi="宋体"/>
          <w:szCs w:val="21"/>
        </w:rPr>
      </w:pPr>
      <w:r>
        <w:rPr>
          <w:rFonts w:ascii="宋体" w:hAnsi="宋体" w:hint="eastAsia"/>
          <w:b/>
          <w:szCs w:val="21"/>
        </w:rPr>
        <w:t>3.</w:t>
      </w:r>
      <w:r>
        <w:rPr>
          <w:rFonts w:ascii="宋体" w:hAnsi="宋体"/>
          <w:b/>
          <w:szCs w:val="21"/>
          <w:lang w:eastAsia="zh-TW"/>
        </w:rPr>
        <w:t>分析化学理学硕士课程</w:t>
      </w:r>
      <w:r>
        <w:rPr>
          <w:rFonts w:ascii="宋体" w:hAnsi="宋体" w:hint="eastAsia"/>
          <w:b/>
          <w:szCs w:val="21"/>
        </w:rPr>
        <w:t>——</w:t>
      </w:r>
      <w:r>
        <w:rPr>
          <w:rFonts w:hint="eastAsia"/>
          <w:b/>
          <w:i/>
          <w:color w:val="0000FF"/>
          <w:sz w:val="24"/>
        </w:rPr>
        <w:t>香港及东南亚唯一相关专业，</w:t>
      </w:r>
      <w:r w:rsidR="00DA1CF7">
        <w:rPr>
          <w:rFonts w:hint="eastAsia"/>
          <w:b/>
          <w:i/>
          <w:color w:val="0000FF"/>
          <w:sz w:val="24"/>
        </w:rPr>
        <w:t>2</w:t>
      </w:r>
      <w:r w:rsidR="00F55FFC">
        <w:rPr>
          <w:rFonts w:hint="eastAsia"/>
          <w:b/>
          <w:i/>
          <w:color w:val="0000FF"/>
          <w:sz w:val="24"/>
        </w:rPr>
        <w:t>4</w:t>
      </w:r>
      <w:r>
        <w:rPr>
          <w:rFonts w:hint="eastAsia"/>
          <w:b/>
          <w:i/>
          <w:color w:val="0000FF"/>
          <w:sz w:val="24"/>
        </w:rPr>
        <w:t>年历史，全港最强</w:t>
      </w:r>
    </w:p>
    <w:p w:rsidR="00B35F2A" w:rsidRDefault="00B35F2A">
      <w:pPr>
        <w:widowControl/>
        <w:jc w:val="left"/>
        <w:rPr>
          <w:rFonts w:ascii="宋体" w:hAnsi="宋体"/>
          <w:szCs w:val="21"/>
        </w:rPr>
      </w:pPr>
      <w:r>
        <w:rPr>
          <w:rFonts w:ascii="宋体" w:hAnsi="宋体" w:hint="eastAsia"/>
          <w:b/>
          <w:szCs w:val="21"/>
        </w:rPr>
        <w:t xml:space="preserve">    </w:t>
      </w:r>
      <w:r>
        <w:rPr>
          <w:rFonts w:ascii="宋体" w:hAnsi="宋体" w:hint="eastAsia"/>
          <w:szCs w:val="21"/>
        </w:rPr>
        <w:t>为分析化学和相关领域的专业人士提供深造机会，为公共和工业试验室以及研究机构提供相关学习课程，使学生在毕业后能掌握扎实的专业知识，对基础理论以及分析化学在现代物理化学的应用方面有深刻理解。</w:t>
      </w:r>
    </w:p>
    <w:p w:rsidR="00B35F2A" w:rsidRDefault="00B35F2A">
      <w:pPr>
        <w:tabs>
          <w:tab w:val="left" w:pos="900"/>
        </w:tabs>
        <w:spacing w:line="360" w:lineRule="auto"/>
        <w:ind w:firstLineChars="200" w:firstLine="422"/>
        <w:rPr>
          <w:rFonts w:ascii="Verdana" w:hAnsi="宋体"/>
          <w:szCs w:val="21"/>
        </w:rPr>
      </w:pPr>
      <w:r>
        <w:rPr>
          <w:rFonts w:ascii="宋体" w:hAnsi="宋体" w:hint="eastAsia"/>
          <w:b/>
          <w:szCs w:val="21"/>
        </w:rPr>
        <w:t>4.环境及公共卫生管理理学硕士学位课程——</w:t>
      </w:r>
      <w:r>
        <w:rPr>
          <w:rFonts w:hint="eastAsia"/>
          <w:b/>
          <w:i/>
          <w:color w:val="0000FF"/>
          <w:sz w:val="24"/>
        </w:rPr>
        <w:t>多学科交叉教学，课程新颖实用</w:t>
      </w:r>
    </w:p>
    <w:p w:rsidR="00B35F2A" w:rsidRPr="0024072E" w:rsidRDefault="00B35F2A" w:rsidP="0024072E">
      <w:pPr>
        <w:ind w:firstLineChars="200" w:firstLine="420"/>
        <w:rPr>
          <w:rFonts w:ascii="宋体" w:hAnsi="宋体"/>
          <w:szCs w:val="21"/>
        </w:rPr>
      </w:pPr>
      <w:r>
        <w:rPr>
          <w:rFonts w:ascii="宋体" w:hAnsi="宋体" w:hint="eastAsia"/>
          <w:szCs w:val="21"/>
        </w:rPr>
        <w:t xml:space="preserve">为社会培养具有出色专业素质的高级环境管理人才。本课程采用多学科交叉教学模式，将管理技巧有机地与环境保护和维护公共健康相结合。 </w:t>
      </w:r>
    </w:p>
    <w:p w:rsidR="00B35F2A" w:rsidRDefault="00B35F2A">
      <w:pPr>
        <w:rPr>
          <w:rFonts w:ascii="宋体" w:hAnsi="宋体"/>
          <w:b/>
          <w:i/>
          <w:iCs/>
          <w:color w:val="0000FF"/>
          <w:sz w:val="24"/>
        </w:rPr>
      </w:pPr>
      <w:r>
        <w:rPr>
          <w:rFonts w:ascii="宋体" w:hAnsi="宋体" w:hint="eastAsia"/>
          <w:b/>
          <w:szCs w:val="21"/>
        </w:rPr>
        <w:t xml:space="preserve">  </w:t>
      </w:r>
      <w:r w:rsidR="0024072E">
        <w:rPr>
          <w:rFonts w:ascii="宋体" w:hAnsi="宋体" w:hint="eastAsia"/>
          <w:b/>
          <w:szCs w:val="21"/>
        </w:rPr>
        <w:t xml:space="preserve">  </w:t>
      </w:r>
      <w:r>
        <w:rPr>
          <w:rFonts w:ascii="宋体" w:hAnsi="宋体" w:hint="eastAsia"/>
          <w:b/>
          <w:szCs w:val="21"/>
        </w:rPr>
        <w:t>5.食品分析及食品安全管理课程——</w:t>
      </w:r>
      <w:r>
        <w:rPr>
          <w:rFonts w:ascii="宋体" w:hAnsi="宋体" w:hint="eastAsia"/>
          <w:b/>
          <w:i/>
          <w:iCs/>
          <w:color w:val="0000FF"/>
          <w:sz w:val="24"/>
        </w:rPr>
        <w:t>热门领域，多学科交叉教学，就业前景广阔</w:t>
      </w:r>
    </w:p>
    <w:p w:rsidR="00B35F2A" w:rsidRDefault="00B35F2A">
      <w:r>
        <w:rPr>
          <w:rFonts w:hint="eastAsia"/>
        </w:rPr>
        <w:t xml:space="preserve">    </w:t>
      </w:r>
      <w:r>
        <w:rPr>
          <w:rFonts w:hint="eastAsia"/>
        </w:rPr>
        <w:t>本课程旨在培养技术多元化人才和传播食品相关知识，为有意在香港，内地和其他国家的食品行业，政府部门，研究机构和非盈利组织从事和承担控制食品安全的人士提供继续深造的机会。课程将涵盖新兴的食品安全领域和最新的食品分析方法来监控食品质量、食品添加剂和食品微生物。学生们还将学习风险评估</w:t>
      </w:r>
      <w:r>
        <w:rPr>
          <w:rFonts w:hint="eastAsia"/>
        </w:rPr>
        <w:t>,</w:t>
      </w:r>
      <w:r>
        <w:rPr>
          <w:rFonts w:hint="eastAsia"/>
        </w:rPr>
        <w:t>风险分析和</w:t>
      </w:r>
      <w:r>
        <w:rPr>
          <w:rFonts w:hint="eastAsia"/>
        </w:rPr>
        <w:t>ISO22000</w:t>
      </w:r>
      <w:r>
        <w:rPr>
          <w:rFonts w:hint="eastAsia"/>
        </w:rPr>
        <w:t>食品安全管理体系。</w:t>
      </w:r>
    </w:p>
    <w:p w:rsidR="00B35F2A" w:rsidRDefault="00B35F2A">
      <w:pPr>
        <w:rPr>
          <w:rFonts w:ascii="宋体" w:hAnsi="宋体"/>
          <w:b/>
          <w:szCs w:val="21"/>
        </w:rPr>
      </w:pPr>
      <w:r>
        <w:rPr>
          <w:rFonts w:ascii="宋体" w:hAnsi="宋体" w:hint="eastAsia"/>
          <w:b/>
          <w:szCs w:val="21"/>
        </w:rPr>
        <w:t xml:space="preserve">   6.信息科技管理理学硕士学位课程——</w:t>
      </w:r>
      <w:r>
        <w:rPr>
          <w:rFonts w:hint="eastAsia"/>
          <w:b/>
          <w:i/>
          <w:color w:val="0000FF"/>
          <w:sz w:val="24"/>
        </w:rPr>
        <w:t>技术与管理并重</w:t>
      </w:r>
    </w:p>
    <w:p w:rsidR="00B35F2A" w:rsidRDefault="00B35F2A">
      <w:pPr>
        <w:ind w:firstLineChars="200" w:firstLine="420"/>
        <w:rPr>
          <w:rFonts w:ascii="宋体" w:hAnsi="宋体"/>
          <w:szCs w:val="21"/>
        </w:rPr>
      </w:pPr>
      <w:r>
        <w:rPr>
          <w:rFonts w:ascii="宋体" w:hAnsi="宋体" w:hint="eastAsia"/>
          <w:szCs w:val="21"/>
        </w:rPr>
        <w:t>本课程旨在培育信息科技管理人才，让学员掌握先进的信息技术及管理知识、及将这些技术及管理知识融会贯通，使学员有足够的能力去设计、开发及管理信息系统及项目。</w:t>
      </w:r>
    </w:p>
    <w:p w:rsidR="00B35F2A" w:rsidRDefault="00B35F2A">
      <w:pPr>
        <w:rPr>
          <w:b/>
          <w:szCs w:val="21"/>
        </w:rPr>
      </w:pPr>
      <w:r>
        <w:rPr>
          <w:rFonts w:hint="eastAsia"/>
          <w:b/>
          <w:szCs w:val="21"/>
        </w:rPr>
        <w:t xml:space="preserve">   7. </w:t>
      </w:r>
      <w:r>
        <w:rPr>
          <w:rFonts w:hint="eastAsia"/>
          <w:b/>
          <w:szCs w:val="21"/>
        </w:rPr>
        <w:t>绿色能源与环境理学硕士学位课程</w:t>
      </w:r>
      <w:r>
        <w:rPr>
          <w:rFonts w:ascii="宋体" w:hAnsi="宋体" w:hint="eastAsia"/>
          <w:b/>
          <w:szCs w:val="21"/>
        </w:rPr>
        <w:t>——</w:t>
      </w:r>
      <w:r>
        <w:rPr>
          <w:rFonts w:hint="eastAsia"/>
          <w:b/>
          <w:i/>
          <w:color w:val="0000FF"/>
          <w:sz w:val="24"/>
        </w:rPr>
        <w:t>朝阳学科，前景广阔</w:t>
      </w:r>
    </w:p>
    <w:p w:rsidR="00B35F2A" w:rsidRDefault="00B35F2A">
      <w:pPr>
        <w:ind w:firstLineChars="200" w:firstLine="420"/>
        <w:rPr>
          <w:rFonts w:ascii="宋体" w:hAnsi="宋体"/>
          <w:szCs w:val="21"/>
        </w:rPr>
      </w:pPr>
      <w:r>
        <w:rPr>
          <w:rFonts w:ascii="宋体" w:hAnsi="宋体"/>
          <w:szCs w:val="21"/>
        </w:rPr>
        <w:t>绿色能源科技理学硕士课程旨在为本科毕业生提供进一步的深造，以使其适应未来在绿色能源、环境监测以及相关社会研究职业生涯上的需求。</w:t>
      </w:r>
    </w:p>
    <w:p w:rsidR="00B35F2A" w:rsidRDefault="00B35F2A" w:rsidP="00217CDB">
      <w:pPr>
        <w:ind w:firstLineChars="150" w:firstLine="316"/>
        <w:rPr>
          <w:rFonts w:ascii="Verdana" w:hAnsi="宋体"/>
          <w:b/>
          <w:szCs w:val="21"/>
        </w:rPr>
      </w:pPr>
      <w:r>
        <w:rPr>
          <w:rFonts w:ascii="宋体" w:hAnsi="宋体" w:hint="eastAsia"/>
          <w:b/>
          <w:szCs w:val="21"/>
        </w:rPr>
        <w:t>8.先进信息系统理学硕士课程</w:t>
      </w:r>
      <w:r>
        <w:rPr>
          <w:rFonts w:ascii="宋体" w:hAnsi="宋体" w:hint="eastAsia"/>
          <w:szCs w:val="21"/>
        </w:rPr>
        <w:t>——</w:t>
      </w:r>
      <w:r>
        <w:rPr>
          <w:rFonts w:ascii="Verdana" w:hAnsi="宋体"/>
          <w:b/>
          <w:i/>
          <w:color w:val="0000FF"/>
          <w:sz w:val="24"/>
        </w:rPr>
        <w:t>涵盖面广</w:t>
      </w:r>
      <w:r>
        <w:rPr>
          <w:rFonts w:ascii="Verdana" w:hAnsi="宋体" w:hint="eastAsia"/>
          <w:b/>
          <w:i/>
          <w:color w:val="0000FF"/>
          <w:sz w:val="24"/>
        </w:rPr>
        <w:t>，实用有效，技术为重</w:t>
      </w:r>
    </w:p>
    <w:p w:rsidR="00B35F2A" w:rsidRDefault="00B35F2A">
      <w:pPr>
        <w:ind w:firstLineChars="200" w:firstLine="420"/>
        <w:rPr>
          <w:rFonts w:ascii="宋体" w:hAnsi="宋体"/>
          <w:szCs w:val="21"/>
        </w:rPr>
      </w:pPr>
      <w:r>
        <w:rPr>
          <w:rFonts w:ascii="宋体" w:hAnsi="宋体" w:hint="eastAsia"/>
          <w:szCs w:val="21"/>
        </w:rPr>
        <w:t>本课程专为那些对先进信息科技感兴趣的人士设计，旨在培养一批走在信息科技领域前沿的高端人才。</w:t>
      </w:r>
    </w:p>
    <w:p w:rsidR="00217CDB" w:rsidRDefault="00217CDB">
      <w:pPr>
        <w:ind w:firstLineChars="200" w:firstLine="420"/>
        <w:rPr>
          <w:rFonts w:ascii="宋体" w:hAnsi="宋体"/>
          <w:szCs w:val="21"/>
        </w:rPr>
      </w:pPr>
    </w:p>
    <w:p w:rsidR="00217CDB" w:rsidRPr="00217CDB" w:rsidRDefault="00217CDB" w:rsidP="00217CDB">
      <w:pPr>
        <w:rPr>
          <w:rFonts w:ascii="黑体" w:eastAsia="黑体" w:hAnsi="黑体"/>
          <w:b/>
          <w:sz w:val="24"/>
          <w:u w:val="single"/>
        </w:rPr>
      </w:pPr>
      <w:r w:rsidRPr="00217CDB">
        <w:rPr>
          <w:rFonts w:ascii="黑体" w:eastAsia="黑体" w:hAnsi="黑体" w:hint="eastAsia"/>
          <w:b/>
          <w:sz w:val="24"/>
          <w:u w:val="single"/>
        </w:rPr>
        <w:t>商学院：</w:t>
      </w:r>
    </w:p>
    <w:p w:rsidR="00217CDB" w:rsidRPr="004B0F5B" w:rsidRDefault="00217CDB" w:rsidP="00217CDB">
      <w:pPr>
        <w:pStyle w:val="a7"/>
        <w:numPr>
          <w:ilvl w:val="0"/>
          <w:numId w:val="1"/>
        </w:numPr>
        <w:tabs>
          <w:tab w:val="left" w:pos="900"/>
        </w:tabs>
        <w:ind w:firstLineChars="0"/>
        <w:rPr>
          <w:rFonts w:asciiTheme="minorEastAsia" w:eastAsiaTheme="minorEastAsia" w:hAnsiTheme="minorEastAsia"/>
          <w:b/>
          <w:sz w:val="21"/>
          <w:szCs w:val="21"/>
        </w:rPr>
      </w:pPr>
      <w:r w:rsidRPr="004B0F5B">
        <w:rPr>
          <w:rFonts w:asciiTheme="minorEastAsia" w:eastAsiaTheme="minorEastAsia" w:hAnsiTheme="minorEastAsia" w:hint="eastAsia"/>
          <w:b/>
          <w:sz w:val="21"/>
          <w:szCs w:val="21"/>
        </w:rPr>
        <w:t>商业管理硕士专业</w:t>
      </w:r>
    </w:p>
    <w:p w:rsidR="00217CDB" w:rsidRPr="00217CDB" w:rsidRDefault="00217CDB" w:rsidP="00217CDB">
      <w:pPr>
        <w:tabs>
          <w:tab w:val="left" w:pos="900"/>
        </w:tabs>
        <w:ind w:firstLineChars="200" w:firstLine="420"/>
        <w:rPr>
          <w:b/>
          <w:i/>
          <w:color w:val="0000FF"/>
          <w:sz w:val="24"/>
        </w:rPr>
      </w:pPr>
      <w:r w:rsidRPr="00217CDB">
        <w:rPr>
          <w:rFonts w:asciiTheme="minorEastAsia" w:eastAsiaTheme="minorEastAsia" w:hAnsiTheme="minorEastAsia" w:hint="eastAsia"/>
          <w:color w:val="000000" w:themeColor="text1"/>
          <w:szCs w:val="21"/>
          <w:shd w:val="clear" w:color="auto" w:fill="FFFFFF"/>
        </w:rPr>
        <w:t>商业管理硕士课程主要教授学生商业管理常识。课程涉及会计、财务、法律、管理、经济学、市场营销、人力资源等等方面。课程也组织同学参加论坛、工作坊、企业考察等等活动，通过理论性的知识结合亲身实践，培养出具有国际视野和创新思维的全面的管理人员。</w:t>
      </w:r>
    </w:p>
    <w:p w:rsidR="00217CDB" w:rsidRPr="004B0F5B" w:rsidRDefault="00217CDB" w:rsidP="004B0F5B">
      <w:pPr>
        <w:tabs>
          <w:tab w:val="left" w:pos="900"/>
        </w:tabs>
        <w:ind w:firstLineChars="100" w:firstLine="210"/>
        <w:rPr>
          <w:rFonts w:ascii="宋体" w:hAnsi="宋体"/>
          <w:b/>
          <w:szCs w:val="21"/>
        </w:rPr>
      </w:pPr>
      <w:r w:rsidRPr="004B0F5B">
        <w:rPr>
          <w:rFonts w:ascii="微软雅黑" w:eastAsia="微软雅黑" w:hAnsi="微软雅黑" w:hint="eastAsia"/>
          <w:b/>
          <w:szCs w:val="21"/>
        </w:rPr>
        <w:t>2.</w:t>
      </w:r>
      <w:r w:rsidRPr="004B0F5B">
        <w:rPr>
          <w:rFonts w:ascii="宋体" w:hAnsi="宋体" w:hint="eastAsia"/>
          <w:b/>
          <w:szCs w:val="21"/>
        </w:rPr>
        <w:t>应用会计及金融硕士专业</w:t>
      </w:r>
    </w:p>
    <w:p w:rsidR="00B35F2A" w:rsidRDefault="00B35F2A" w:rsidP="00217CDB">
      <w:pPr>
        <w:rPr>
          <w:rFonts w:ascii="宋体" w:hAnsi="宋体"/>
          <w:szCs w:val="21"/>
        </w:rPr>
      </w:pPr>
    </w:p>
    <w:p w:rsidR="00B35F2A" w:rsidRDefault="00B35F2A" w:rsidP="00455524">
      <w:pPr>
        <w:spacing w:beforeLines="100"/>
        <w:ind w:firstLineChars="100" w:firstLine="211"/>
        <w:rPr>
          <w:rFonts w:ascii="宋体" w:hAnsi="宋体"/>
          <w:b/>
          <w:szCs w:val="21"/>
        </w:rPr>
      </w:pPr>
      <w:r>
        <w:rPr>
          <w:rFonts w:ascii="宋体" w:hAnsi="宋体" w:hint="eastAsia"/>
          <w:b/>
          <w:szCs w:val="21"/>
        </w:rPr>
        <w:t>◆申请资格：</w:t>
      </w:r>
    </w:p>
    <w:p w:rsidR="00B35F2A" w:rsidRDefault="00B35F2A">
      <w:pPr>
        <w:ind w:firstLineChars="200" w:firstLine="422"/>
        <w:rPr>
          <w:rFonts w:ascii="宋体" w:hAnsi="宋体"/>
          <w:b/>
          <w:szCs w:val="21"/>
        </w:rPr>
      </w:pPr>
      <w:r>
        <w:rPr>
          <w:rFonts w:ascii="宋体" w:hAnsi="宋体" w:hint="eastAsia"/>
          <w:b/>
          <w:szCs w:val="21"/>
        </w:rPr>
        <w:t>拥有教育部认可的大学或大专院校所颁发的理科、工科、商科或相关学科的学士学位或同等学历</w:t>
      </w:r>
    </w:p>
    <w:p w:rsidR="00B35F2A" w:rsidRDefault="00B35F2A">
      <w:pPr>
        <w:ind w:firstLineChars="200" w:firstLine="422"/>
        <w:rPr>
          <w:rFonts w:ascii="宋体" w:hAnsi="宋体"/>
          <w:b/>
          <w:szCs w:val="21"/>
        </w:rPr>
      </w:pPr>
      <w:r>
        <w:rPr>
          <w:rFonts w:ascii="宋体" w:hAnsi="宋体" w:hint="eastAsia"/>
          <w:b/>
          <w:szCs w:val="21"/>
        </w:rPr>
        <w:t>要求申请人的大学平均成绩良好，具有较好的英语水平（需提供TOEFL或IELTS或国家英语考试其中任一项成绩证明）。</w:t>
      </w:r>
    </w:p>
    <w:p w:rsidR="00B35F2A" w:rsidRDefault="00B35F2A">
      <w:pPr>
        <w:ind w:firstLineChars="100" w:firstLine="211"/>
        <w:rPr>
          <w:rFonts w:ascii="宋体" w:hAnsi="宋体"/>
          <w:b/>
          <w:szCs w:val="21"/>
        </w:rPr>
      </w:pPr>
    </w:p>
    <w:p w:rsidR="004B0F5B" w:rsidRDefault="004B0F5B">
      <w:pPr>
        <w:ind w:firstLineChars="100" w:firstLine="211"/>
        <w:rPr>
          <w:rFonts w:ascii="宋体" w:hAnsi="宋体"/>
          <w:b/>
          <w:szCs w:val="21"/>
        </w:rPr>
      </w:pPr>
    </w:p>
    <w:p w:rsidR="004B0F5B" w:rsidRDefault="004B0F5B">
      <w:pPr>
        <w:ind w:firstLineChars="100" w:firstLine="211"/>
        <w:rPr>
          <w:rFonts w:ascii="宋体" w:hAnsi="宋体"/>
          <w:b/>
          <w:szCs w:val="21"/>
        </w:rPr>
      </w:pPr>
    </w:p>
    <w:p w:rsidR="00B35F2A" w:rsidRDefault="00B35F2A">
      <w:pPr>
        <w:ind w:firstLineChars="100" w:firstLine="211"/>
        <w:rPr>
          <w:rFonts w:ascii="宋体" w:hAnsi="宋体"/>
          <w:b/>
          <w:szCs w:val="21"/>
        </w:rPr>
      </w:pPr>
      <w:r>
        <w:rPr>
          <w:rFonts w:ascii="宋体" w:hAnsi="宋体" w:hint="eastAsia"/>
          <w:b/>
          <w:szCs w:val="21"/>
        </w:rPr>
        <w:t>◆香港浸会大学内地申请处：</w:t>
      </w:r>
    </w:p>
    <w:p w:rsidR="00B35F2A" w:rsidRDefault="00B35F2A">
      <w:pPr>
        <w:spacing w:line="240" w:lineRule="atLeast"/>
        <w:ind w:firstLineChars="49" w:firstLine="103"/>
        <w:rPr>
          <w:rFonts w:ascii="Verdana" w:hAnsi="Verdana" w:cs="Arial"/>
          <w:b/>
          <w:szCs w:val="21"/>
        </w:rPr>
      </w:pPr>
      <w:r>
        <w:rPr>
          <w:rFonts w:ascii="Verdana" w:hAnsi="Arial" w:cs="Arial" w:hint="eastAsia"/>
          <w:b/>
          <w:szCs w:val="21"/>
        </w:rPr>
        <w:t>电话</w:t>
      </w:r>
      <w:r>
        <w:rPr>
          <w:rFonts w:ascii="Verdana" w:hAnsi="Verdana" w:cs="Arial"/>
          <w:b/>
          <w:szCs w:val="21"/>
        </w:rPr>
        <w:t xml:space="preserve">: 010-61768389 </w:t>
      </w:r>
      <w:r>
        <w:rPr>
          <w:rFonts w:ascii="Verdana" w:hAnsi="Verdana" w:cs="Arial" w:hint="eastAsia"/>
          <w:b/>
          <w:szCs w:val="21"/>
        </w:rPr>
        <w:t xml:space="preserve"> </w:t>
      </w:r>
      <w:r>
        <w:rPr>
          <w:rFonts w:ascii="Verdana" w:hAnsi="Verdana" w:cs="Arial"/>
          <w:b/>
          <w:szCs w:val="21"/>
        </w:rPr>
        <w:t>84846648</w:t>
      </w:r>
      <w:r>
        <w:rPr>
          <w:rFonts w:ascii="Verdana" w:hAnsi="Verdana" w:cs="Arial" w:hint="eastAsia"/>
          <w:b/>
          <w:szCs w:val="21"/>
        </w:rPr>
        <w:t xml:space="preserve">  </w:t>
      </w:r>
      <w:r>
        <w:rPr>
          <w:rFonts w:ascii="Verdana" w:hAnsi="Verdana" w:cs="Arial" w:hint="eastAsia"/>
          <w:b/>
          <w:szCs w:val="21"/>
        </w:rPr>
        <w:t>传真：</w:t>
      </w:r>
      <w:r>
        <w:rPr>
          <w:rFonts w:ascii="Verdana" w:hAnsi="Verdana" w:cs="Arial" w:hint="eastAsia"/>
          <w:b/>
          <w:szCs w:val="21"/>
        </w:rPr>
        <w:t>010-8484 7748</w:t>
      </w:r>
    </w:p>
    <w:p w:rsidR="00B35F2A" w:rsidRDefault="00B35F2A">
      <w:pPr>
        <w:spacing w:line="240" w:lineRule="atLeast"/>
        <w:ind w:firstLineChars="49" w:firstLine="103"/>
        <w:rPr>
          <w:rFonts w:ascii="Verdana" w:hAnsi="Verdana" w:cs="Arial"/>
          <w:b/>
          <w:szCs w:val="21"/>
        </w:rPr>
      </w:pPr>
      <w:r>
        <w:rPr>
          <w:rFonts w:ascii="Verdana" w:hAnsi="Verdana" w:cs="Arial"/>
          <w:b/>
          <w:szCs w:val="21"/>
        </w:rPr>
        <w:t xml:space="preserve">Email: </w:t>
      </w:r>
      <w:hyperlink r:id="rId7" w:history="1">
        <w:r>
          <w:rPr>
            <w:rStyle w:val="a4"/>
            <w:rFonts w:ascii="Verdana" w:hAnsi="Verdana" w:cs="Arial"/>
            <w:b/>
            <w:szCs w:val="21"/>
          </w:rPr>
          <w:t>chinahuaxia@sina.cn</w:t>
        </w:r>
      </w:hyperlink>
      <w:r>
        <w:rPr>
          <w:rFonts w:ascii="Verdana" w:hAnsi="Verdana" w:cs="Arial" w:hint="eastAsia"/>
          <w:b/>
          <w:szCs w:val="21"/>
        </w:rPr>
        <w:t xml:space="preserve">     </w:t>
      </w:r>
      <w:hyperlink r:id="rId8" w:history="1">
        <w:r>
          <w:rPr>
            <w:rStyle w:val="a4"/>
            <w:rFonts w:ascii="Verdana" w:hAnsi="Verdana" w:cs="Arial"/>
            <w:b/>
            <w:szCs w:val="21"/>
          </w:rPr>
          <w:t>hkemail@sina.cn</w:t>
        </w:r>
      </w:hyperlink>
    </w:p>
    <w:p w:rsidR="00DA1CF7" w:rsidRDefault="00B35F2A" w:rsidP="00DA1CF7">
      <w:pPr>
        <w:spacing w:line="240" w:lineRule="atLeast"/>
        <w:ind w:firstLineChars="49" w:firstLine="103"/>
        <w:rPr>
          <w:rFonts w:ascii="Verdana" w:hAnsi="Verdana" w:cs="Arial"/>
          <w:b/>
          <w:szCs w:val="21"/>
        </w:rPr>
      </w:pPr>
      <w:r>
        <w:rPr>
          <w:rFonts w:ascii="Verdana" w:hAnsi="Verdana" w:cs="Arial" w:hint="eastAsia"/>
          <w:b/>
          <w:szCs w:val="21"/>
        </w:rPr>
        <w:t>Website: chinahuaxia.net</w:t>
      </w:r>
    </w:p>
    <w:p w:rsidR="00DA1CF7" w:rsidRDefault="00DA1CF7">
      <w:pPr>
        <w:spacing w:line="240" w:lineRule="atLeast"/>
        <w:ind w:firstLineChars="49" w:firstLine="103"/>
        <w:rPr>
          <w:rFonts w:ascii="宋体" w:hAnsi="宋体"/>
          <w:b/>
          <w:szCs w:val="21"/>
        </w:rPr>
      </w:pPr>
      <w:r>
        <w:rPr>
          <w:rFonts w:ascii="宋体" w:hAnsi="宋体"/>
          <w:b/>
          <w:noProof/>
          <w:szCs w:val="21"/>
        </w:rPr>
        <w:drawing>
          <wp:inline distT="0" distB="0" distL="0" distR="0">
            <wp:extent cx="1828800" cy="1828800"/>
            <wp:effectExtent l="19050" t="0" r="0" b="0"/>
            <wp:docPr id="2" name="图片 1" descr="微信公共平台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公共平台二维码.jpg"/>
                    <pic:cNvPicPr/>
                  </pic:nvPicPr>
                  <pic:blipFill>
                    <a:blip r:embed="rId9" cstate="print"/>
                    <a:stretch>
                      <a:fillRect/>
                    </a:stretch>
                  </pic:blipFill>
                  <pic:spPr>
                    <a:xfrm>
                      <a:off x="0" y="0"/>
                      <a:ext cx="1829863" cy="1829863"/>
                    </a:xfrm>
                    <a:prstGeom prst="rect">
                      <a:avLst/>
                    </a:prstGeom>
                  </pic:spPr>
                </pic:pic>
              </a:graphicData>
            </a:graphic>
          </wp:inline>
        </w:drawing>
      </w:r>
    </w:p>
    <w:sectPr w:rsidR="00DA1CF7" w:rsidSect="009D5326">
      <w:headerReference w:type="default" r:id="rId10"/>
      <w:pgSz w:w="11906" w:h="16838"/>
      <w:pgMar w:top="567" w:right="851" w:bottom="567"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80" w:rsidRDefault="00BD2080">
      <w:r>
        <w:separator/>
      </w:r>
    </w:p>
  </w:endnote>
  <w:endnote w:type="continuationSeparator" w:id="0">
    <w:p w:rsidR="00BD2080" w:rsidRDefault="00BD2080">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A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80" w:rsidRDefault="00BD2080">
      <w:r>
        <w:separator/>
      </w:r>
    </w:p>
  </w:footnote>
  <w:footnote w:type="continuationSeparator" w:id="0">
    <w:p w:rsidR="00BD2080" w:rsidRDefault="00BD2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F2A" w:rsidRDefault="002866E8">
    <w:pPr>
      <w:pStyle w:val="a6"/>
      <w:jc w:val="left"/>
    </w:pPr>
    <w:r>
      <w:rPr>
        <w:noProof/>
      </w:rPr>
      <w:drawing>
        <wp:inline distT="0" distB="0" distL="0" distR="0">
          <wp:extent cx="3314700" cy="733425"/>
          <wp:effectExtent l="19050" t="0" r="0" b="0"/>
          <wp:docPr id="1" name="图片 1" descr="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_logo"/>
                  <pic:cNvPicPr>
                    <a:picLocks noChangeAspect="1" noChangeArrowheads="1"/>
                  </pic:cNvPicPr>
                </pic:nvPicPr>
                <pic:blipFill>
                  <a:blip r:embed="rId1"/>
                  <a:srcRect/>
                  <a:stretch>
                    <a:fillRect/>
                  </a:stretch>
                </pic:blipFill>
                <pic:spPr bwMode="auto">
                  <a:xfrm>
                    <a:off x="0" y="0"/>
                    <a:ext cx="3314700"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95E13"/>
    <w:multiLevelType w:val="hybridMultilevel"/>
    <w:tmpl w:val="B6184DA0"/>
    <w:lvl w:ilvl="0" w:tplc="C19AD616">
      <w:start w:val="1"/>
      <w:numFmt w:val="decimal"/>
      <w:lvlText w:val="%1."/>
      <w:lvlJc w:val="left"/>
      <w:pPr>
        <w:ind w:left="720" w:hanging="360"/>
      </w:pPr>
      <w:rPr>
        <w:rFonts w:ascii="微软雅黑" w:eastAsia="微软雅黑" w:hAnsi="微软雅黑"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29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3AA9"/>
    <w:rsid w:val="00052785"/>
    <w:rsid w:val="00081931"/>
    <w:rsid w:val="0010717B"/>
    <w:rsid w:val="00162FEA"/>
    <w:rsid w:val="00172A27"/>
    <w:rsid w:val="00181BF8"/>
    <w:rsid w:val="0018689D"/>
    <w:rsid w:val="00191361"/>
    <w:rsid w:val="001A3A9F"/>
    <w:rsid w:val="001A6230"/>
    <w:rsid w:val="001E04FC"/>
    <w:rsid w:val="00217CDB"/>
    <w:rsid w:val="0024072E"/>
    <w:rsid w:val="002866E8"/>
    <w:rsid w:val="002A4C25"/>
    <w:rsid w:val="002D281D"/>
    <w:rsid w:val="003062AA"/>
    <w:rsid w:val="0033759F"/>
    <w:rsid w:val="00361E39"/>
    <w:rsid w:val="00387593"/>
    <w:rsid w:val="003D1299"/>
    <w:rsid w:val="003E60A4"/>
    <w:rsid w:val="00436697"/>
    <w:rsid w:val="00447110"/>
    <w:rsid w:val="00455524"/>
    <w:rsid w:val="004721A8"/>
    <w:rsid w:val="004752F3"/>
    <w:rsid w:val="004B0F5B"/>
    <w:rsid w:val="004C63A3"/>
    <w:rsid w:val="00511CC8"/>
    <w:rsid w:val="00540C74"/>
    <w:rsid w:val="00557031"/>
    <w:rsid w:val="005947BF"/>
    <w:rsid w:val="005B7C12"/>
    <w:rsid w:val="005F5D85"/>
    <w:rsid w:val="006034F7"/>
    <w:rsid w:val="00606B61"/>
    <w:rsid w:val="00643C58"/>
    <w:rsid w:val="006E4D83"/>
    <w:rsid w:val="00735647"/>
    <w:rsid w:val="00743351"/>
    <w:rsid w:val="007B0ED6"/>
    <w:rsid w:val="007D7141"/>
    <w:rsid w:val="007E6D49"/>
    <w:rsid w:val="00801E58"/>
    <w:rsid w:val="00837A75"/>
    <w:rsid w:val="008B1257"/>
    <w:rsid w:val="008C05A7"/>
    <w:rsid w:val="00922EC0"/>
    <w:rsid w:val="009525D7"/>
    <w:rsid w:val="009633D2"/>
    <w:rsid w:val="009B7593"/>
    <w:rsid w:val="009D5326"/>
    <w:rsid w:val="00A00976"/>
    <w:rsid w:val="00AD4040"/>
    <w:rsid w:val="00AE232B"/>
    <w:rsid w:val="00AF3BD0"/>
    <w:rsid w:val="00B35F2A"/>
    <w:rsid w:val="00B9114E"/>
    <w:rsid w:val="00BC1B7F"/>
    <w:rsid w:val="00BC2C98"/>
    <w:rsid w:val="00BC71EA"/>
    <w:rsid w:val="00BD2080"/>
    <w:rsid w:val="00BE0F5E"/>
    <w:rsid w:val="00C044B2"/>
    <w:rsid w:val="00C97B20"/>
    <w:rsid w:val="00CA2580"/>
    <w:rsid w:val="00CC2684"/>
    <w:rsid w:val="00CC30C4"/>
    <w:rsid w:val="00CE3068"/>
    <w:rsid w:val="00D20EAE"/>
    <w:rsid w:val="00D21C90"/>
    <w:rsid w:val="00D34CCE"/>
    <w:rsid w:val="00D51C3C"/>
    <w:rsid w:val="00D705C3"/>
    <w:rsid w:val="00D7159C"/>
    <w:rsid w:val="00D71F9E"/>
    <w:rsid w:val="00D8342F"/>
    <w:rsid w:val="00DA1CF7"/>
    <w:rsid w:val="00DC12FA"/>
    <w:rsid w:val="00DC46E2"/>
    <w:rsid w:val="00E26041"/>
    <w:rsid w:val="00E36C3D"/>
    <w:rsid w:val="00E80F7C"/>
    <w:rsid w:val="00EF16E1"/>
    <w:rsid w:val="00F55FFC"/>
    <w:rsid w:val="00F80796"/>
    <w:rsid w:val="00F84962"/>
    <w:rsid w:val="00FD0ED6"/>
    <w:rsid w:val="00FE1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D5326"/>
    <w:rPr>
      <w:b/>
      <w:bCs/>
    </w:rPr>
  </w:style>
  <w:style w:type="character" w:customStyle="1" w:styleId="HTMLChar">
    <w:name w:val="HTML 预设格式 Char"/>
    <w:basedOn w:val="a0"/>
    <w:link w:val="HTML"/>
    <w:rsid w:val="009D5326"/>
    <w:rPr>
      <w:rFonts w:ascii="ˎ̥" w:hAnsi="ˎ̥" w:cs="宋体"/>
      <w:sz w:val="21"/>
      <w:szCs w:val="21"/>
    </w:rPr>
  </w:style>
  <w:style w:type="character" w:styleId="a4">
    <w:name w:val="Hyperlink"/>
    <w:basedOn w:val="a0"/>
    <w:rsid w:val="009D5326"/>
    <w:rPr>
      <w:color w:val="0000FF"/>
      <w:u w:val="single"/>
    </w:rPr>
  </w:style>
  <w:style w:type="character" w:customStyle="1" w:styleId="Char">
    <w:name w:val="页脚 Char"/>
    <w:basedOn w:val="a0"/>
    <w:link w:val="a5"/>
    <w:rsid w:val="009D5326"/>
    <w:rPr>
      <w:kern w:val="2"/>
      <w:sz w:val="18"/>
      <w:szCs w:val="18"/>
    </w:rPr>
  </w:style>
  <w:style w:type="character" w:customStyle="1" w:styleId="Char0">
    <w:name w:val="页眉 Char"/>
    <w:basedOn w:val="a0"/>
    <w:link w:val="a6"/>
    <w:rsid w:val="009D5326"/>
    <w:rPr>
      <w:kern w:val="2"/>
      <w:sz w:val="18"/>
      <w:szCs w:val="18"/>
    </w:rPr>
  </w:style>
  <w:style w:type="paragraph" w:styleId="a7">
    <w:name w:val="List Paragraph"/>
    <w:basedOn w:val="a"/>
    <w:qFormat/>
    <w:rsid w:val="009D5326"/>
    <w:pPr>
      <w:widowControl/>
      <w:ind w:firstLineChars="200" w:firstLine="420"/>
      <w:jc w:val="left"/>
    </w:pPr>
    <w:rPr>
      <w:rFonts w:eastAsia="PMingLiU"/>
      <w:kern w:val="0"/>
      <w:sz w:val="24"/>
      <w:lang w:eastAsia="zh-TW"/>
    </w:rPr>
  </w:style>
  <w:style w:type="paragraph" w:styleId="a5">
    <w:name w:val="footer"/>
    <w:basedOn w:val="a"/>
    <w:link w:val="Char"/>
    <w:rsid w:val="009D5326"/>
    <w:pPr>
      <w:tabs>
        <w:tab w:val="center" w:pos="4153"/>
        <w:tab w:val="right" w:pos="8306"/>
      </w:tabs>
      <w:snapToGrid w:val="0"/>
      <w:jc w:val="left"/>
    </w:pPr>
    <w:rPr>
      <w:sz w:val="18"/>
      <w:szCs w:val="18"/>
    </w:rPr>
  </w:style>
  <w:style w:type="paragraph" w:styleId="a6">
    <w:name w:val="header"/>
    <w:basedOn w:val="a"/>
    <w:link w:val="Char0"/>
    <w:rsid w:val="009D5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9D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ˎ̥" w:hAnsi="ˎ̥" w:cs="宋体"/>
      <w:szCs w:val="21"/>
    </w:rPr>
  </w:style>
  <w:style w:type="paragraph" w:styleId="a8">
    <w:name w:val="Balloon Text"/>
    <w:basedOn w:val="a"/>
    <w:link w:val="Char1"/>
    <w:rsid w:val="00191361"/>
    <w:rPr>
      <w:sz w:val="18"/>
      <w:szCs w:val="18"/>
    </w:rPr>
  </w:style>
  <w:style w:type="character" w:customStyle="1" w:styleId="Char1">
    <w:name w:val="批注框文本 Char"/>
    <w:basedOn w:val="a0"/>
    <w:link w:val="a8"/>
    <w:rsid w:val="0019136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email@sina.cn" TargetMode="External"/><Relationship Id="rId3" Type="http://schemas.openxmlformats.org/officeDocument/2006/relationships/settings" Target="settings.xml"/><Relationship Id="rId7" Type="http://schemas.openxmlformats.org/officeDocument/2006/relationships/hyperlink" Target="mailto:chinahuaxia@sina.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326</Words>
  <Characters>1860</Characters>
  <Application>Microsoft Office Word</Application>
  <DocSecurity>0</DocSecurity>
  <PresentationFormat/>
  <Lines>15</Lines>
  <Paragraphs>4</Paragraphs>
  <Slides>0</Slides>
  <Notes>0</Notes>
  <HiddenSlides>0</HiddenSlides>
  <MMClips>0</MMClips>
  <ScaleCrop>false</ScaleCrop>
  <Company>亚太管理学院</Company>
  <LinksUpToDate>false</LinksUpToDate>
  <CharactersWithSpaces>2182</CharactersWithSpaces>
  <SharedDoc>false</SharedDoc>
  <HLinks>
    <vt:vector size="12" baseType="variant">
      <vt:variant>
        <vt:i4>4128782</vt:i4>
      </vt:variant>
      <vt:variant>
        <vt:i4>3</vt:i4>
      </vt:variant>
      <vt:variant>
        <vt:i4>0</vt:i4>
      </vt:variant>
      <vt:variant>
        <vt:i4>5</vt:i4>
      </vt:variant>
      <vt:variant>
        <vt:lpwstr>mailto:hkemail@sina.cn</vt:lpwstr>
      </vt:variant>
      <vt:variant>
        <vt:lpwstr/>
      </vt:variant>
      <vt:variant>
        <vt:i4>3670023</vt:i4>
      </vt:variant>
      <vt:variant>
        <vt:i4>0</vt:i4>
      </vt:variant>
      <vt:variant>
        <vt:i4>0</vt:i4>
      </vt:variant>
      <vt:variant>
        <vt:i4>5</vt:i4>
      </vt:variant>
      <vt:variant>
        <vt:lpwstr>mailto:chinahuaxia@sina.cn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香港浸会大学研究生院四大专业硕士</dc:title>
  <dc:creator>tangyuexia</dc:creator>
  <cp:lastModifiedBy>User</cp:lastModifiedBy>
  <cp:revision>5</cp:revision>
  <dcterms:created xsi:type="dcterms:W3CDTF">2017-09-04T01:04:00Z</dcterms:created>
  <dcterms:modified xsi:type="dcterms:W3CDTF">2017-10-31T05:33:00Z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