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3539C4" w:rsidRPr="003539C4" w:rsidTr="003539C4">
        <w:trPr>
          <w:trHeight w:val="630"/>
        </w:trPr>
        <w:tc>
          <w:tcPr>
            <w:tcW w:w="9640" w:type="dxa"/>
            <w:tcBorders>
              <w:bottom w:val="single" w:sz="6" w:space="0" w:color="6ABD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3359" w:rsidRPr="00380C38" w:rsidRDefault="00233359" w:rsidP="003539C4">
            <w:pPr>
              <w:widowControl/>
              <w:wordWrap w:val="0"/>
              <w:jc w:val="center"/>
              <w:rPr>
                <w:rFonts w:ascii="微软雅黑" w:eastAsia="微软雅黑" w:hAnsi="微软雅黑"/>
                <w:b/>
                <w:color w:val="0070C0"/>
                <w:sz w:val="44"/>
              </w:rPr>
            </w:pPr>
            <w:r w:rsidRPr="00380C38">
              <w:rPr>
                <w:rFonts w:ascii="微软雅黑" w:eastAsia="微软雅黑" w:hAnsi="微软雅黑" w:hint="eastAsia"/>
                <w:b/>
                <w:color w:val="0070C0"/>
                <w:sz w:val="44"/>
              </w:rPr>
              <w:t>预见未来 遇见你</w:t>
            </w:r>
          </w:p>
          <w:p w:rsidR="00884C07" w:rsidRDefault="00233359" w:rsidP="003539C4">
            <w:pPr>
              <w:widowControl/>
              <w:wordWrap w:val="0"/>
              <w:jc w:val="center"/>
              <w:rPr>
                <w:rFonts w:ascii="微软雅黑" w:eastAsia="微软雅黑" w:hAnsi="微软雅黑"/>
                <w:b/>
                <w:color w:val="0070C0"/>
                <w:sz w:val="44"/>
              </w:rPr>
            </w:pPr>
            <w:r w:rsidRPr="00380C38">
              <w:rPr>
                <w:rFonts w:ascii="微软雅黑" w:eastAsia="微软雅黑" w:hAnsi="微软雅黑" w:hint="eastAsia"/>
                <w:b/>
                <w:color w:val="0070C0"/>
                <w:sz w:val="44"/>
              </w:rPr>
              <w:t>浪潮信息201</w:t>
            </w:r>
            <w:r w:rsidRPr="00380C38">
              <w:rPr>
                <w:rFonts w:ascii="微软雅黑" w:eastAsia="微软雅黑" w:hAnsi="微软雅黑"/>
                <w:b/>
                <w:color w:val="0070C0"/>
                <w:sz w:val="44"/>
              </w:rPr>
              <w:t>9</w:t>
            </w:r>
            <w:r w:rsidRPr="00380C38">
              <w:rPr>
                <w:rFonts w:ascii="微软雅黑" w:eastAsia="微软雅黑" w:hAnsi="微软雅黑" w:hint="eastAsia"/>
                <w:b/>
                <w:color w:val="0070C0"/>
                <w:sz w:val="44"/>
              </w:rPr>
              <w:t>届</w:t>
            </w:r>
            <w:r w:rsidRPr="00380C38">
              <w:rPr>
                <w:rFonts w:ascii="微软雅黑" w:eastAsia="微软雅黑" w:hAnsi="微软雅黑"/>
                <w:b/>
                <w:color w:val="0070C0"/>
                <w:sz w:val="44"/>
              </w:rPr>
              <w:t>”浪淘沙”</w:t>
            </w:r>
            <w:bookmarkStart w:id="0" w:name="_GoBack"/>
            <w:bookmarkEnd w:id="0"/>
            <w:r w:rsidR="00884C07">
              <w:rPr>
                <w:rFonts w:ascii="微软雅黑" w:eastAsia="微软雅黑" w:hAnsi="微软雅黑"/>
                <w:b/>
                <w:color w:val="0070C0"/>
                <w:sz w:val="44"/>
              </w:rPr>
              <w:t>管培生</w:t>
            </w:r>
          </w:p>
          <w:p w:rsidR="003539C4" w:rsidRPr="00380C38" w:rsidRDefault="00233359" w:rsidP="003539C4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80C38">
              <w:rPr>
                <w:rFonts w:ascii="微软雅黑" w:eastAsia="微软雅黑" w:hAnsi="微软雅黑" w:hint="eastAsia"/>
                <w:b/>
                <w:color w:val="0070C0"/>
                <w:sz w:val="44"/>
              </w:rPr>
              <w:t>招聘启事</w:t>
            </w:r>
          </w:p>
          <w:p w:rsidR="003539C4" w:rsidRPr="003539C4" w:rsidRDefault="003539C4" w:rsidP="003539C4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什么是“浪淘沙”计划</w:t>
            </w:r>
            <w:r w:rsidRPr="003539C4"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3539C4" w:rsidRPr="00380C38" w:rsidRDefault="003539C4" w:rsidP="003539C4">
            <w:pPr>
              <w:widowControl/>
              <w:wordWrap w:val="0"/>
              <w:ind w:firstLine="42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539C4">
              <w:rPr>
                <w:rFonts w:ascii="微软雅黑" w:eastAsia="微软雅黑" w:hAnsi="微软雅黑" w:cs="宋体" w:hint="eastAsia"/>
                <w:color w:val="5E5E5E"/>
                <w:kern w:val="0"/>
                <w:szCs w:val="21"/>
              </w:rPr>
              <w:t>“浪淘沙”计划，是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旨在吸引，培养和保留具有发展潜力的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国际化产品经理人才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的发展项目。</w:t>
            </w:r>
            <w:r w:rsidRPr="003539C4">
              <w:rPr>
                <w:rFonts w:ascii="微软雅黑" w:eastAsia="微软雅黑" w:hAnsi="微软雅黑" w:cs="宋体" w:hint="eastAsia"/>
                <w:color w:val="5E5E5E"/>
                <w:kern w:val="0"/>
                <w:szCs w:val="21"/>
              </w:rPr>
              <w:t>此项计划为期2年，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包括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量身定制的轮岗机会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以及</w:t>
            </w:r>
            <w:r w:rsidRPr="003539C4">
              <w:rPr>
                <w:rFonts w:ascii="微软雅黑" w:eastAsia="微软雅黑" w:hAnsi="微软雅黑" w:cs="宋体" w:hint="eastAsia"/>
                <w:color w:val="5E5E5E"/>
                <w:kern w:val="0"/>
                <w:szCs w:val="21"/>
              </w:rPr>
              <w:t>充满挑战性的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5E5E5E"/>
                <w:kern w:val="0"/>
                <w:szCs w:val="21"/>
              </w:rPr>
              <w:t>海外工作和学习机会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，集合公司最优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培训资源、产品资源、导师资源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，配备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shd w:val="clear" w:color="auto" w:fill="FFFFFF"/>
              </w:rPr>
              <w:t>部门总经理担任指导老师</w:t>
            </w:r>
            <w:r w:rsidRPr="003539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shd w:val="clear" w:color="auto" w:fill="FFFFFF"/>
              </w:rPr>
              <w:t>，通过多渠道和多样化的混合发展模式</w:t>
            </w:r>
            <w:r w:rsidRPr="003539C4">
              <w:rPr>
                <w:rFonts w:ascii="微软雅黑" w:eastAsia="微软雅黑" w:hAnsi="微软雅黑" w:cs="宋体" w:hint="eastAsia"/>
                <w:color w:val="5E5E5E"/>
                <w:kern w:val="0"/>
                <w:szCs w:val="21"/>
              </w:rPr>
              <w:t>，在培训、工作等过程中和</w:t>
            </w:r>
            <w:r w:rsidRPr="003539C4">
              <w:rPr>
                <w:rFonts w:ascii="微软雅黑" w:eastAsia="微软雅黑" w:hAnsi="微软雅黑" w:cs="宋体" w:hint="eastAsia"/>
                <w:b/>
                <w:bCs/>
                <w:color w:val="5E5E5E"/>
                <w:kern w:val="0"/>
                <w:szCs w:val="21"/>
              </w:rPr>
              <w:t>高层领导充分接触</w:t>
            </w:r>
            <w:r w:rsidRPr="003539C4">
              <w:rPr>
                <w:rFonts w:ascii="微软雅黑" w:eastAsia="微软雅黑" w:hAnsi="微软雅黑" w:cs="宋体" w:hint="eastAsia"/>
                <w:color w:val="5E5E5E"/>
                <w:kern w:val="0"/>
                <w:szCs w:val="21"/>
              </w:rPr>
              <w:t>，为学员自身潜力提供一流的挖掘手段。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  <w:t xml:space="preserve"> </w:t>
            </w:r>
          </w:p>
          <w:p w:rsidR="00233359" w:rsidRPr="003539C4" w:rsidRDefault="00233359" w:rsidP="003539C4">
            <w:pPr>
              <w:widowControl/>
              <w:wordWrap w:val="0"/>
              <w:ind w:firstLine="42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我们为你提供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539C4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最高效的高潜人才培养模式</w:t>
            </w:r>
            <w:r w:rsidRPr="003539C4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1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10%的系统培养，管培生的自我认知及角色转变，从”校园人”转变为“公司人”；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1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20%的导师制，管培生的快速成长及知识累积，成长为合格的”行业人”；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1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70%的轮岗制，管培生通过实践获取相关经验，真正成长为一个”职业人”；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850AB8" w:rsidRPr="00380C38" w:rsidRDefault="00850AB8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</w:p>
          <w:p w:rsidR="003539C4" w:rsidRPr="003539C4" w:rsidRDefault="003539C4" w:rsidP="00850AB8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3539C4"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> </w:t>
            </w: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管培生轮岗路径</w:t>
            </w:r>
            <w:r w:rsidRPr="003539C4"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tbl>
            <w:tblPr>
              <w:tblW w:w="82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837"/>
              <w:gridCol w:w="5255"/>
            </w:tblGrid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bottom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" w:hint="eastAsia"/>
                      <w:b/>
                      <w:bCs/>
                      <w:color w:val="FFFFFF"/>
                      <w:kern w:val="0"/>
                      <w:szCs w:val="21"/>
                    </w:rPr>
                    <w:t>轮岗阶段</w:t>
                  </w:r>
                  <w:r w:rsidRPr="003539C4"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bottom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" w:hint="eastAsia"/>
                      <w:b/>
                      <w:bCs/>
                      <w:color w:val="FFFFFF"/>
                      <w:kern w:val="0"/>
                      <w:szCs w:val="21"/>
                    </w:rPr>
                    <w:t>体系</w:t>
                  </w:r>
                  <w:r w:rsidRPr="003539C4"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bottom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" w:hint="eastAsia"/>
                      <w:b/>
                      <w:bCs/>
                      <w:color w:val="FFFFFF"/>
                      <w:kern w:val="0"/>
                      <w:szCs w:val="21"/>
                    </w:rPr>
                    <w:t>目标</w:t>
                  </w:r>
                  <w:r w:rsidRPr="003539C4">
                    <w:rPr>
                      <w:rFonts w:ascii="微软雅黑" w:eastAsia="微软雅黑" w:hAnsi="微软雅黑" w:cs="Arial"/>
                      <w:color w:val="FFFFFF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轮岗1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研发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跨部门、跨团队产品跨部门、提升研发项目管理能力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轮岗2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国际供应链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生产计划运营，加强对公司生产运营、经营管理的认识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lastRenderedPageBreak/>
                    <w:t>轮岗3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解决方案中心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了解客户需求及市场动态，提升对产品、市场认知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轮岗4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客户服务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客户现场技术服务与实施，加深产品技术理解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539C4">
              <w:trPr>
                <w:trHeight w:val="63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轮岗5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市场销售一线</w:t>
                  </w:r>
                  <w:r w:rsidRPr="00380C38"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80C38" w:rsidRDefault="003539C4" w:rsidP="003539C4">
                  <w:pPr>
                    <w:pStyle w:val="15"/>
                    <w:rPr>
                      <w:rFonts w:ascii="微软雅黑" w:eastAsia="微软雅黑" w:hAnsi="微软雅黑" w:cs="Arial"/>
                      <w:color w:val="000000" w:themeColor="text1"/>
                      <w:sz w:val="18"/>
                      <w:szCs w:val="18"/>
                    </w:rPr>
                  </w:pPr>
                  <w:r w:rsidRPr="00380C38">
                    <w:rPr>
                      <w:rFonts w:ascii="微软雅黑" w:eastAsia="微软雅黑" w:hAnsi="微软雅黑" w:cs="Arial" w:hint="eastAsia"/>
                      <w:color w:val="000000" w:themeColor="text1"/>
                      <w:sz w:val="21"/>
                      <w:szCs w:val="21"/>
                    </w:rPr>
                    <w:t>面向市场，面向客户，提升市场洞察及快速反应能力</w:t>
                  </w:r>
                </w:p>
              </w:tc>
            </w:tr>
          </w:tbl>
          <w:p w:rsidR="003539C4" w:rsidRPr="00380C38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36"/>
                <w:szCs w:val="36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我们期待高潜能的你</w:t>
            </w:r>
            <w:r w:rsidRPr="003539C4"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</w:t>
            </w: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超能者：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985高校硕士及以上应届毕业生，有海外留学经历优先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</w:t>
            </w: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理工喵：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计算机、软件、电子信息、自动化、物理、数学等理工科专业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</w:t>
            </w: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国际汪：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国际化视野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</w:t>
            </w: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卓越童鞋：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卓越的创新思维、优秀的沟通能力、强大的抗压力和自驱力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2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</w:t>
            </w: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英文达人：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流利的英文口语和书写能力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我们想给你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3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同行羡慕嫉妒的报酬：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远超普通应届毕业生的薪酬、丰厚奖金、花式补贴……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3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疯狂点赞的员工福利：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六险一金、健康体检、生日惊喜、海外旅游、公司联谊，还有购房优惠……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3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“宠坏你”的发展规划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：定制化的能力模型、系统化的学习地图、高管导师一对一专业辅导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850AB8">
            <w:pPr>
              <w:pStyle w:val="a6"/>
              <w:widowControl/>
              <w:numPr>
                <w:ilvl w:val="0"/>
                <w:numId w:val="3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“私人订制”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：海外派驻机会、全球轮岗、跨部门项目锻炼、专业发展基金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539C4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我们等你来加入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539C4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l </w:t>
            </w:r>
            <w:r w:rsidRPr="003539C4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网申方式1：</w:t>
            </w:r>
            <w:r w:rsidRPr="003539C4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浪潮集团官方网站-校园招聘-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综合</w:t>
            </w:r>
            <w:r w:rsidRPr="003539C4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管培生</w:t>
            </w:r>
            <w:r w:rsidRPr="003539C4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  <w:r w:rsidRPr="003539C4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l </w:t>
            </w:r>
            <w:r w:rsidRPr="003539C4">
              <w:rPr>
                <w:rFonts w:ascii="微软雅黑" w:eastAsia="微软雅黑" w:hAnsi="微软雅黑" w:cs="Arial" w:hint="eastAsia"/>
                <w:b/>
                <w:bCs/>
                <w:color w:val="5E5E5E"/>
                <w:kern w:val="0"/>
                <w:szCs w:val="21"/>
              </w:rPr>
              <w:t>网申方式2：</w:t>
            </w:r>
            <w:r w:rsidRPr="00380C38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 xml:space="preserve">直接投递招聘邮箱 </w:t>
            </w:r>
            <w:hyperlink r:id="rId8" w:history="1">
              <w:r w:rsidRPr="00380C38">
                <w:rPr>
                  <w:rStyle w:val="a5"/>
                  <w:rFonts w:ascii="微软雅黑" w:eastAsia="微软雅黑" w:hAnsi="微软雅黑" w:cs="Arial" w:hint="eastAsia"/>
                  <w:kern w:val="0"/>
                  <w:szCs w:val="21"/>
                </w:rPr>
                <w:t>zhaopin@inspur.</w:t>
              </w:r>
              <w:r w:rsidRPr="00380C38">
                <w:rPr>
                  <w:rStyle w:val="a5"/>
                  <w:rFonts w:ascii="微软雅黑" w:eastAsia="微软雅黑" w:hAnsi="微软雅黑" w:cs="Arial"/>
                  <w:kern w:val="0"/>
                  <w:szCs w:val="21"/>
                </w:rPr>
                <w:t>com</w:t>
              </w:r>
            </w:hyperlink>
          </w:p>
          <w:p w:rsidR="003539C4" w:rsidRPr="00380C38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  <w:r w:rsidRPr="003539C4">
              <w:rPr>
                <w:rFonts w:ascii="微软雅黑" w:eastAsia="微软雅黑" w:hAnsi="微软雅黑" w:cs="Arial"/>
                <w:b/>
                <w:bCs/>
                <w:color w:val="5E5E5E"/>
                <w:kern w:val="0"/>
                <w:szCs w:val="21"/>
              </w:rPr>
              <w:t>l 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  <w:t xml:space="preserve"> 可加微信联系</w:t>
            </w:r>
          </w:p>
          <w:p w:rsidR="003539C4" w:rsidRPr="00380C38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  <w:r w:rsidRPr="00380C38">
              <w:rPr>
                <w:rFonts w:ascii="微软雅黑" w:eastAsia="微软雅黑" w:hAnsi="微软雅黑" w:cs="Arial" w:hint="eastAsia"/>
                <w:noProof/>
                <w:color w:val="5E5E5E"/>
                <w:kern w:val="0"/>
                <w:szCs w:val="21"/>
              </w:rPr>
              <w:lastRenderedPageBreak/>
              <w:drawing>
                <wp:inline distT="0" distB="0" distL="0" distR="0">
                  <wp:extent cx="2257425" cy="22574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3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80C38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36"/>
                <w:szCs w:val="36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380C38">
              <w:rPr>
                <w:rFonts w:ascii="微软雅黑" w:eastAsia="微软雅黑" w:hAnsi="微软雅黑" w:hint="eastAsia"/>
                <w:b/>
                <w:color w:val="000000" w:themeColor="text1"/>
                <w:sz w:val="32"/>
                <w:szCs w:val="32"/>
              </w:rPr>
              <w:t>我们的招聘流程</w:t>
            </w:r>
          </w:p>
          <w:p w:rsidR="003539C4" w:rsidRPr="00380C38" w:rsidRDefault="003539C4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539C4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网申-测评-电话沟通-无领导小组讨论-业务线BOSS面试-HR面试-HRVP面试-体检入职</w:t>
            </w:r>
            <w:r w:rsidRPr="003539C4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515C6F" w:rsidRPr="00380C38" w:rsidRDefault="00515C6F" w:rsidP="00E15360">
            <w:pPr>
              <w:widowControl/>
              <w:wordWrap w:val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E15360" w:rsidRDefault="00E15360" w:rsidP="00E15360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E15360"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>公司网址</w:t>
            </w:r>
          </w:p>
          <w:p w:rsidR="00515C6F" w:rsidRPr="00E15360" w:rsidRDefault="00E15360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  <w:r w:rsidRPr="00E15360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www.inspur.com</w:t>
            </w: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80C38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515C6F" w:rsidRPr="003539C4" w:rsidRDefault="00515C6F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b/>
                <w:color w:val="5E5E5E"/>
                <w:kern w:val="0"/>
                <w:sz w:val="44"/>
                <w:szCs w:val="44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color w:val="5E5E5E"/>
                <w:kern w:val="0"/>
                <w:sz w:val="44"/>
                <w:szCs w:val="44"/>
              </w:rPr>
              <w:lastRenderedPageBreak/>
              <w:t>Inspur  Recruitment</w:t>
            </w:r>
            <w:r w:rsidRPr="003539C4">
              <w:rPr>
                <w:rFonts w:ascii="微软雅黑" w:eastAsia="微软雅黑" w:hAnsi="微软雅黑" w:cs="宋体"/>
                <w:b/>
                <w:color w:val="5E5E5E"/>
                <w:kern w:val="0"/>
                <w:sz w:val="44"/>
                <w:szCs w:val="44"/>
              </w:rPr>
              <w:t xml:space="preserve"> </w:t>
            </w:r>
          </w:p>
          <w:p w:rsidR="00380C38" w:rsidRPr="003539C4" w:rsidRDefault="003539C4" w:rsidP="003539C4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color w:val="5E5E5E"/>
                <w:kern w:val="0"/>
                <w:sz w:val="44"/>
                <w:szCs w:val="44"/>
              </w:rPr>
              <w:t>“ICE”</w:t>
            </w:r>
            <w:r w:rsidR="00380C38">
              <w:rPr>
                <w:rFonts w:ascii="微软雅黑" w:eastAsia="微软雅黑" w:hAnsi="微软雅黑" w:cs="Arial Unicode MS" w:hint="eastAsia"/>
                <w:b/>
                <w:color w:val="5E5E5E"/>
                <w:kern w:val="0"/>
                <w:sz w:val="44"/>
                <w:szCs w:val="44"/>
              </w:rPr>
              <w:t> Management Trainee R</w:t>
            </w:r>
            <w:r w:rsidRPr="003539C4">
              <w:rPr>
                <w:rFonts w:ascii="微软雅黑" w:eastAsia="微软雅黑" w:hAnsi="微软雅黑" w:cs="Arial Unicode MS" w:hint="eastAsia"/>
                <w:b/>
                <w:color w:val="5E5E5E"/>
                <w:kern w:val="0"/>
                <w:sz w:val="44"/>
                <w:szCs w:val="44"/>
              </w:rPr>
              <w:t>ecruitment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44"/>
                <w:szCs w:val="44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 xml:space="preserve">What’s the </w:t>
            </w:r>
            <w:bookmarkStart w:id="1" w:name="OLE_LINK1"/>
            <w:bookmarkStart w:id="2" w:name="OLE_LINK2"/>
            <w:bookmarkEnd w:id="1"/>
            <w:bookmarkEnd w:id="2"/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“ICE” Project</w:t>
            </w:r>
            <w:r w:rsidRPr="003539C4">
              <w:rPr>
                <w:rFonts w:ascii="微软雅黑" w:eastAsia="微软雅黑" w:hAnsi="微软雅黑" w:cs="宋体"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color w:val="000000"/>
                <w:kern w:val="0"/>
                <w:szCs w:val="21"/>
                <w:shd w:val="clear" w:color="auto" w:fill="FFFFFF"/>
              </w:rPr>
            </w:pPr>
            <w:r w:rsidRPr="003539C4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ICE is a project which aims to attract, train and retain the talents of potential international product managers. The 2-year project will provide customized job rotation, challenging overseas working and studying opportunities, a</w:t>
            </w:r>
            <w:r w:rsidRPr="003539C4">
              <w:rPr>
                <w:rFonts w:ascii="微软雅黑" w:eastAsia="微软雅黑" w:hAnsi="微软雅黑" w:cs="Arial Unicode MS" w:hint="eastAsia"/>
                <w:color w:val="000000"/>
                <w:kern w:val="0"/>
                <w:szCs w:val="21"/>
                <w:shd w:val="clear" w:color="auto" w:fill="FFFFFF"/>
              </w:rPr>
              <w:t xml:space="preserve">s well as best training, product &amp; tutoring resources. The project adopts multiple channel &amp; diversified development patterns to provide talents with sufficient communication with top management during training &amp; working, while department GMs will be their tutors. </w:t>
            </w:r>
          </w:p>
          <w:p w:rsidR="00380C38" w:rsidRPr="003539C4" w:rsidRDefault="00380C38" w:rsidP="003539C4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E5E5E"/>
                <w:kern w:val="0"/>
                <w:sz w:val="24"/>
                <w:szCs w:val="24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What we provide</w:t>
            </w: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3539C4" w:rsidRPr="003539C4" w:rsidRDefault="00380C38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  <w:t>T</w:t>
            </w:r>
            <w:r w:rsidR="003539C4" w:rsidRPr="003539C4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he most efficient training mode for talents with high potential</w:t>
            </w:r>
            <w:r w:rsidR="003539C4" w:rsidRPr="003539C4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4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systematic cultivation, 10%; Self-cognition and role transformation of management trainees; Students-to-Worker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4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Tutor system, 20%; rapid growing and knowledge accumulation of management trainees heip them become qualified in the industry；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Default="003539C4" w:rsidP="00380C38">
            <w:pPr>
              <w:pStyle w:val="a6"/>
              <w:widowControl/>
              <w:numPr>
                <w:ilvl w:val="0"/>
                <w:numId w:val="4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Job rotating cultivation, 70%: gain relevant experience through practice and become a real professional;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2510CF" w:rsidRPr="00380C38" w:rsidRDefault="002510CF" w:rsidP="00380C38">
            <w:pPr>
              <w:pStyle w:val="a6"/>
              <w:widowControl/>
              <w:numPr>
                <w:ilvl w:val="0"/>
                <w:numId w:val="4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> </w:t>
            </w: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Job rotating route for management trainees</w:t>
            </w: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2510CF" w:rsidRPr="003539C4" w:rsidRDefault="002510CF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</w:p>
          <w:tbl>
            <w:tblPr>
              <w:tblW w:w="8222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2119"/>
              <w:gridCol w:w="5111"/>
            </w:tblGrid>
            <w:tr w:rsidR="003539C4" w:rsidRPr="003539C4" w:rsidTr="00175F3B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b/>
                      <w:bCs/>
                      <w:color w:val="FFFFFF" w:themeColor="background1"/>
                      <w:kern w:val="0"/>
                      <w:szCs w:val="21"/>
                    </w:rPr>
                    <w:t>Phase</w:t>
                  </w:r>
                  <w:r w:rsidRPr="003539C4"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b/>
                      <w:bCs/>
                      <w:color w:val="FFFFFF" w:themeColor="background1"/>
                      <w:kern w:val="0"/>
                      <w:szCs w:val="21"/>
                    </w:rPr>
                    <w:t>System</w:t>
                  </w:r>
                  <w:r w:rsidRPr="003539C4"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2060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b/>
                      <w:bCs/>
                      <w:color w:val="FFFFFF" w:themeColor="background1"/>
                      <w:kern w:val="0"/>
                      <w:szCs w:val="21"/>
                    </w:rPr>
                    <w:t>Objectives</w:t>
                  </w:r>
                  <w:r w:rsidRPr="003539C4">
                    <w:rPr>
                      <w:rFonts w:ascii="微软雅黑" w:eastAsia="微软雅黑" w:hAnsi="微软雅黑" w:cs="Arial"/>
                      <w:color w:val="FFFFFF" w:themeColor="background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539C4" w:rsidRPr="003539C4" w:rsidTr="00380C38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JR 1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R&amp;D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Cross-department &amp; cross team product R&amp;D, Improve the management ability for R&amp;D project</w:t>
                  </w:r>
                </w:p>
              </w:tc>
            </w:tr>
            <w:tr w:rsidR="003539C4" w:rsidRPr="003539C4" w:rsidTr="00380C38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JR 2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International supply chain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Production planning operation，strengthen the understanding of productive operation &amp; operating management</w:t>
                  </w:r>
                </w:p>
              </w:tc>
            </w:tr>
            <w:tr w:rsidR="003539C4" w:rsidRPr="003539C4" w:rsidTr="00380C38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JR 3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Solution center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Understand customer needs and market trend</w:t>
                  </w:r>
                </w:p>
              </w:tc>
            </w:tr>
            <w:tr w:rsidR="003539C4" w:rsidRPr="003539C4" w:rsidTr="00380C38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JR 4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Customer Service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80C38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Provide technical services and implementation at customer site and deepen product technical understanding</w:t>
                  </w:r>
                </w:p>
              </w:tc>
            </w:tr>
            <w:tr w:rsidR="003539C4" w:rsidRPr="003539C4" w:rsidTr="00175F3B">
              <w:trPr>
                <w:trHeight w:val="630"/>
                <w:jc w:val="center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JR 5</w:t>
                  </w:r>
                  <w:r w:rsidRPr="003539C4"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539C4">
                  <w:pPr>
                    <w:widowControl/>
                    <w:jc w:val="center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Marketing and Sales</w:t>
                  </w:r>
                  <w:r w:rsidRPr="003539C4"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539C4" w:rsidRPr="003539C4" w:rsidRDefault="003539C4" w:rsidP="003539C4">
                  <w:pPr>
                    <w:widowControl/>
                    <w:jc w:val="left"/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3539C4">
                    <w:rPr>
                      <w:rFonts w:ascii="微软雅黑" w:eastAsia="微软雅黑" w:hAnsi="微软雅黑" w:cs="Arial Unicode MS" w:hint="eastAsia"/>
                      <w:color w:val="000000" w:themeColor="text1"/>
                      <w:kern w:val="0"/>
                      <w:szCs w:val="21"/>
                    </w:rPr>
                    <w:t>Market oriented &amp; customer oriented; market insight and quick response</w:t>
                  </w:r>
                  <w:r w:rsidRPr="003539C4">
                    <w:rPr>
                      <w:rFonts w:ascii="微软雅黑" w:eastAsia="微软雅黑" w:hAnsi="微软雅黑" w:cs="Arial"/>
                      <w:color w:val="000000" w:themeColor="text1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80C38" w:rsidRDefault="00380C38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You are the one of high potential we expect</w:t>
            </w: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5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Super talents：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 Master degree and above graduates of 985 universities; overseas study experience preferred.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5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 xml:space="preserve">Science &amp; Engineering talents: 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Computer, Software, Electronic Information, Automation, Physics, Mathematics and other Science &amp; Engineering Major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5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International talents：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International vision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5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lastRenderedPageBreak/>
              <w:t>Brilliant talents：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 xml:space="preserve">Brilliant innovative thinking mode, excellent communication skills, strong anti-pressure &amp; self-motivating ability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5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English Star：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Fluent English both in written and spoken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80C38" w:rsidRDefault="00380C38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</w:p>
          <w:p w:rsidR="003539C4" w:rsidRPr="003539C4" w:rsidRDefault="003539C4" w:rsidP="003539C4">
            <w:pPr>
              <w:widowControl/>
              <w:wordWrap w:val="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 xml:space="preserve">What we will offer you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6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An enviable salary in the industry：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far more salary, bonuses, various subsidies than average level for graduates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6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Cra</w:t>
            </w: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000000" w:themeColor="text1"/>
                <w:kern w:val="0"/>
                <w:szCs w:val="21"/>
              </w:rPr>
              <w:t>zy “</w:t>
            </w:r>
            <w:hyperlink r:id="rId10" w:history="1">
              <w:r w:rsidRPr="00380C38">
                <w:rPr>
                  <w:rFonts w:ascii="微软雅黑" w:eastAsia="微软雅黑" w:hAnsi="微软雅黑" w:cs="Arial Unicode MS"/>
                  <w:b/>
                  <w:bCs/>
                  <w:color w:val="000000" w:themeColor="text1"/>
                  <w:kern w:val="0"/>
                  <w:szCs w:val="21"/>
                </w:rPr>
                <w:t>thumbs</w:t>
              </w:r>
            </w:hyperlink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000000" w:themeColor="text1"/>
                <w:kern w:val="0"/>
                <w:szCs w:val="21"/>
              </w:rPr>
              <w:t> </w:t>
            </w:r>
            <w:hyperlink r:id="rId11" w:history="1">
              <w:r w:rsidRPr="00380C38">
                <w:rPr>
                  <w:rFonts w:ascii="微软雅黑" w:eastAsia="微软雅黑" w:hAnsi="微软雅黑" w:cs="Arial Unicode MS"/>
                  <w:b/>
                  <w:bCs/>
                  <w:color w:val="000000" w:themeColor="text1"/>
                  <w:kern w:val="0"/>
                  <w:szCs w:val="21"/>
                </w:rPr>
                <w:t>up</w:t>
              </w:r>
            </w:hyperlink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000000" w:themeColor="text1"/>
                <w:kern w:val="0"/>
                <w:szCs w:val="21"/>
              </w:rPr>
              <w:t>” em</w:t>
            </w: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ployee benefit：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 Five social insurance and one housing fund, commercial insurance, physical examination, birthday surprise, overseas travel, company fellowship, house-purchase discount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Pr="00380C38" w:rsidRDefault="003539C4" w:rsidP="00380C38">
            <w:pPr>
              <w:pStyle w:val="a6"/>
              <w:widowControl/>
              <w:numPr>
                <w:ilvl w:val="0"/>
                <w:numId w:val="6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Brilliant development planning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：customized capability model, systematic learning map, one-to-one mentoring from executives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539C4" w:rsidRDefault="003539C4" w:rsidP="00380C38">
            <w:pPr>
              <w:pStyle w:val="a6"/>
              <w:widowControl/>
              <w:numPr>
                <w:ilvl w:val="0"/>
                <w:numId w:val="6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80C38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Customized opportunity</w:t>
            </w:r>
            <w:r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: Overseas working opportunities, global job rotation, multi-divisional project practice, professional development fund</w:t>
            </w:r>
            <w:r w:rsidRPr="00380C38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380C38" w:rsidRPr="00380C38" w:rsidRDefault="00380C38" w:rsidP="00380C38">
            <w:pPr>
              <w:pStyle w:val="a6"/>
              <w:widowControl/>
              <w:numPr>
                <w:ilvl w:val="0"/>
                <w:numId w:val="6"/>
              </w:numPr>
              <w:wordWrap w:val="0"/>
              <w:ind w:firstLineChars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We are waiting for you to join us</w:t>
            </w: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Online application 1：</w:t>
            </w:r>
            <w:r w:rsidRPr="003539C4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 xml:space="preserve">Official Website of Inspur Group - </w:t>
            </w:r>
            <w:bookmarkStart w:id="3" w:name="OLE_LINK6"/>
            <w:bookmarkStart w:id="4" w:name="OLE_LINK5"/>
            <w:bookmarkEnd w:id="3"/>
            <w:bookmarkEnd w:id="4"/>
            <w:r w:rsidRPr="003539C4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Campus Recruitment –Overseas Student- Management trainee</w:t>
            </w:r>
            <w:r w:rsidRPr="003539C4"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  <w:t xml:space="preserve"> </w:t>
            </w:r>
          </w:p>
          <w:p w:rsidR="00175F3B" w:rsidRPr="00380C38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Cs w:val="21"/>
              </w:rPr>
              <w:t>Online application 2：</w:t>
            </w:r>
            <w:r w:rsidR="00175F3B" w:rsidRPr="00380C38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 </w:t>
            </w:r>
            <w:r w:rsidR="00175F3B" w:rsidRPr="00380C38"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  <w:t xml:space="preserve">send your resume though </w:t>
            </w:r>
            <w:hyperlink r:id="rId12" w:history="1">
              <w:r w:rsidR="00175F3B" w:rsidRPr="00380C38">
                <w:rPr>
                  <w:rStyle w:val="a5"/>
                  <w:rFonts w:ascii="微软雅黑" w:eastAsia="微软雅黑" w:hAnsi="微软雅黑" w:cs="Arial Unicode MS"/>
                  <w:kern w:val="0"/>
                  <w:szCs w:val="21"/>
                </w:rPr>
                <w:t>zhaopin@inspur.com</w:t>
              </w:r>
            </w:hyperlink>
          </w:p>
          <w:p w:rsidR="00175F3B" w:rsidRPr="00380C38" w:rsidRDefault="00175F3B" w:rsidP="00175F3B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Cs w:val="21"/>
              </w:rPr>
            </w:pPr>
            <w:r w:rsidRPr="00380C38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Cs w:val="21"/>
              </w:rPr>
              <w:t>You can contact following Wechat for further information</w:t>
            </w:r>
          </w:p>
          <w:p w:rsidR="00175F3B" w:rsidRPr="00380C38" w:rsidRDefault="00175F3B" w:rsidP="00175F3B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  <w:r w:rsidRPr="00380C38"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  <w:lastRenderedPageBreak/>
              <w:t xml:space="preserve"> </w:t>
            </w:r>
            <w:r w:rsidRPr="00380C38">
              <w:rPr>
                <w:rFonts w:ascii="微软雅黑" w:eastAsia="微软雅黑" w:hAnsi="微软雅黑" w:cs="Arial Unicode MS"/>
                <w:noProof/>
                <w:color w:val="5E5E5E"/>
                <w:kern w:val="0"/>
                <w:szCs w:val="21"/>
              </w:rPr>
              <w:drawing>
                <wp:inline distT="0" distB="0" distL="0" distR="0">
                  <wp:extent cx="2733675" cy="27336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3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  <w:p w:rsidR="003539C4" w:rsidRPr="003539C4" w:rsidRDefault="003539C4" w:rsidP="003539C4">
            <w:pPr>
              <w:widowControl/>
              <w:wordWrap w:val="0"/>
              <w:ind w:left="420" w:hanging="42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  <w:r w:rsidRPr="003539C4">
              <w:rPr>
                <w:rFonts w:ascii="微软雅黑" w:eastAsia="微软雅黑" w:hAnsi="微软雅黑" w:cs="Arial Unicode MS" w:hint="eastAsia"/>
                <w:b/>
                <w:bCs/>
                <w:color w:val="5E5E5E"/>
                <w:kern w:val="0"/>
                <w:sz w:val="32"/>
                <w:szCs w:val="32"/>
              </w:rPr>
              <w:t>Recruitment Process</w:t>
            </w:r>
            <w:r w:rsidRPr="003539C4">
              <w:rPr>
                <w:rFonts w:ascii="微软雅黑" w:eastAsia="微软雅黑" w:hAnsi="微软雅黑" w:cs="Arial Unicode MS"/>
                <w:b/>
                <w:bCs/>
                <w:color w:val="5E5E5E"/>
                <w:kern w:val="0"/>
                <w:sz w:val="32"/>
                <w:szCs w:val="32"/>
              </w:rPr>
              <w:t xml:space="preserve"> </w:t>
            </w:r>
          </w:p>
          <w:p w:rsidR="003539C4" w:rsidRDefault="003539C4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  <w:r w:rsidRPr="003539C4">
              <w:rPr>
                <w:rFonts w:ascii="微软雅黑" w:eastAsia="微软雅黑" w:hAnsi="微软雅黑" w:cs="Arial Unicode MS" w:hint="eastAsia"/>
                <w:color w:val="5E5E5E"/>
                <w:kern w:val="0"/>
                <w:szCs w:val="21"/>
              </w:rPr>
              <w:t>Online application - Evaluation - telephone communication - leaderless group discussion –Business Line Boss interview-HR interview - HRVP interview - physical examination &amp; entry to work</w:t>
            </w: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ED69E1" w:rsidRPr="00E15360" w:rsidRDefault="00ED69E1" w:rsidP="00ED69E1">
            <w:pPr>
              <w:widowControl/>
              <w:wordWrap w:val="0"/>
              <w:jc w:val="left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  <w:t>Company Website</w:t>
            </w:r>
          </w:p>
          <w:p w:rsidR="00ED69E1" w:rsidRPr="00E15360" w:rsidRDefault="00ED69E1" w:rsidP="00ED69E1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"/>
                <w:color w:val="5E5E5E"/>
                <w:kern w:val="0"/>
                <w:szCs w:val="21"/>
              </w:rPr>
            </w:pPr>
            <w:r w:rsidRPr="00E15360">
              <w:rPr>
                <w:rFonts w:ascii="微软雅黑" w:eastAsia="微软雅黑" w:hAnsi="微软雅黑" w:cs="Arial" w:hint="eastAsia"/>
                <w:color w:val="5E5E5E"/>
                <w:kern w:val="0"/>
                <w:szCs w:val="21"/>
              </w:rPr>
              <w:t>www.inspur.com</w:t>
            </w: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Default="00380C38" w:rsidP="003539C4">
            <w:pPr>
              <w:widowControl/>
              <w:wordWrap w:val="0"/>
              <w:ind w:left="480"/>
              <w:jc w:val="left"/>
              <w:rPr>
                <w:rFonts w:ascii="微软雅黑" w:eastAsia="微软雅黑" w:hAnsi="微软雅黑" w:cs="Arial Unicode MS"/>
                <w:color w:val="5E5E5E"/>
                <w:kern w:val="0"/>
                <w:szCs w:val="21"/>
              </w:rPr>
            </w:pPr>
          </w:p>
          <w:p w:rsidR="00380C38" w:rsidRPr="003539C4" w:rsidRDefault="00380C38" w:rsidP="00380C38">
            <w:pPr>
              <w:widowControl/>
              <w:wordWrap w:val="0"/>
              <w:jc w:val="left"/>
              <w:rPr>
                <w:rFonts w:ascii="微软雅黑" w:eastAsia="微软雅黑" w:hAnsi="微软雅黑" w:cs="Arial"/>
                <w:color w:val="5E5E5E"/>
                <w:kern w:val="0"/>
                <w:sz w:val="18"/>
                <w:szCs w:val="18"/>
              </w:rPr>
            </w:pPr>
          </w:p>
        </w:tc>
      </w:tr>
    </w:tbl>
    <w:p w:rsidR="00094273" w:rsidRPr="00380C38" w:rsidRDefault="00094273" w:rsidP="002510CF">
      <w:pPr>
        <w:rPr>
          <w:rFonts w:ascii="微软雅黑" w:eastAsia="微软雅黑" w:hAnsi="微软雅黑"/>
        </w:rPr>
      </w:pPr>
    </w:p>
    <w:sectPr w:rsidR="00094273" w:rsidRPr="00380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84" w:rsidRDefault="00141F84" w:rsidP="003539C4">
      <w:r>
        <w:separator/>
      </w:r>
    </w:p>
  </w:endnote>
  <w:endnote w:type="continuationSeparator" w:id="0">
    <w:p w:rsidR="00141F84" w:rsidRDefault="00141F84" w:rsidP="003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84" w:rsidRDefault="00141F84" w:rsidP="003539C4">
      <w:r>
        <w:separator/>
      </w:r>
    </w:p>
  </w:footnote>
  <w:footnote w:type="continuationSeparator" w:id="0">
    <w:p w:rsidR="00141F84" w:rsidRDefault="00141F84" w:rsidP="0035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965"/>
    <w:multiLevelType w:val="hybridMultilevel"/>
    <w:tmpl w:val="EDA2038A"/>
    <w:lvl w:ilvl="0" w:tplc="0409000D">
      <w:start w:val="1"/>
      <w:numFmt w:val="bullet"/>
      <w:lvlText w:val="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1" w15:restartNumberingAfterBreak="0">
    <w:nsid w:val="143322C5"/>
    <w:multiLevelType w:val="hybridMultilevel"/>
    <w:tmpl w:val="F7E6DA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D7B43"/>
    <w:multiLevelType w:val="hybridMultilevel"/>
    <w:tmpl w:val="C18472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F311A"/>
    <w:multiLevelType w:val="hybridMultilevel"/>
    <w:tmpl w:val="90DCD0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EF0FAE"/>
    <w:multiLevelType w:val="hybridMultilevel"/>
    <w:tmpl w:val="3A16CD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B2F39"/>
    <w:multiLevelType w:val="hybridMultilevel"/>
    <w:tmpl w:val="9EE659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12"/>
    <w:rsid w:val="00094273"/>
    <w:rsid w:val="00141F84"/>
    <w:rsid w:val="00175F3B"/>
    <w:rsid w:val="001B2FFF"/>
    <w:rsid w:val="00233359"/>
    <w:rsid w:val="002510CF"/>
    <w:rsid w:val="003539C4"/>
    <w:rsid w:val="00380C38"/>
    <w:rsid w:val="003D5012"/>
    <w:rsid w:val="00515C6F"/>
    <w:rsid w:val="00604FCB"/>
    <w:rsid w:val="00850AB8"/>
    <w:rsid w:val="00884C07"/>
    <w:rsid w:val="00D006ED"/>
    <w:rsid w:val="00D77344"/>
    <w:rsid w:val="00E15360"/>
    <w:rsid w:val="00E979AC"/>
    <w:rsid w:val="00E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8B3FA-669C-400E-95EB-09A923D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9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9C4"/>
    <w:rPr>
      <w:sz w:val="18"/>
      <w:szCs w:val="18"/>
    </w:rPr>
  </w:style>
  <w:style w:type="paragraph" w:customStyle="1" w:styleId="15">
    <w:name w:val="15"/>
    <w:basedOn w:val="a"/>
    <w:rsid w:val="003539C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539C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50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2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2084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in@inspu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haopin@inspu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49A3-8B05-402B-AB33-3DCE314A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Xie(解佳希)</dc:creator>
  <cp:keywords/>
  <dc:description/>
  <cp:lastModifiedBy>June Xie(解佳希)</cp:lastModifiedBy>
  <cp:revision>11</cp:revision>
  <dcterms:created xsi:type="dcterms:W3CDTF">2018-10-22T09:11:00Z</dcterms:created>
  <dcterms:modified xsi:type="dcterms:W3CDTF">2018-12-11T11:20:00Z</dcterms:modified>
</cp:coreProperties>
</file>